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EE88F7" w14:textId="77777777" w:rsidR="00BE0263" w:rsidRDefault="00641252" w:rsidP="00BE0263">
      <w:pPr>
        <w:pStyle w:val="ASDEFCONTitle"/>
      </w:pPr>
      <w:bookmarkStart w:id="0" w:name="_Toc3028317"/>
      <w:r w:rsidRPr="0066273A">
        <w:t>PRICE</w:t>
      </w:r>
      <w:r>
        <w:t xml:space="preserve"> AND PAYMENTS</w:t>
      </w:r>
      <w:r w:rsidRPr="0066273A">
        <w:t xml:space="preserve"> (CORE)</w:t>
      </w:r>
    </w:p>
    <w:p w14:paraId="53093A7B" w14:textId="04FBCBC3" w:rsidR="00BE0263" w:rsidRPr="0066273A" w:rsidRDefault="00641252" w:rsidP="00BE0263">
      <w:pPr>
        <w:pStyle w:val="NoteToTenderers-ASDEFCON"/>
      </w:pPr>
      <w:r>
        <w:t xml:space="preserve">Note to tenderers:  Attachment B will consist of an amalgamation of information </w:t>
      </w:r>
      <w:r w:rsidR="0074674F">
        <w:t xml:space="preserve">submitted </w:t>
      </w:r>
      <w:r w:rsidR="001B6DFD">
        <w:t xml:space="preserve">by the tenderer </w:t>
      </w:r>
      <w:r w:rsidR="0074674F">
        <w:t>in response to</w:t>
      </w:r>
      <w:r>
        <w:t xml:space="preserve"> TDR D, this draft Attachment B and any negotiated adjustments.</w:t>
      </w:r>
    </w:p>
    <w:p w14:paraId="03BAC51A" w14:textId="02198C03" w:rsidR="007C1BA4" w:rsidRDefault="00032152" w:rsidP="00FA7EF5">
      <w:pPr>
        <w:pStyle w:val="ATTANNLV1-ASDEFCON"/>
      </w:pPr>
      <w:bookmarkStart w:id="1" w:name="_Ref94692808"/>
      <w:r>
        <w:t>GENERAL</w:t>
      </w:r>
      <w:r w:rsidR="007C1BA4">
        <w:t xml:space="preserve"> (CORE)</w:t>
      </w:r>
      <w:bookmarkEnd w:id="1"/>
    </w:p>
    <w:p w14:paraId="241556DA" w14:textId="10A80BD5" w:rsidR="00BE0263" w:rsidRDefault="00641252" w:rsidP="00BE0263">
      <w:pPr>
        <w:pStyle w:val="ATTANNLV2-ASDEFCON"/>
      </w:pPr>
      <w:r w:rsidRPr="0066273A">
        <w:t xml:space="preserve">Attachment B consists of the following </w:t>
      </w:r>
      <w:r w:rsidR="00032152">
        <w:t xml:space="preserve">clauses and associated Annexes as indicated in </w:t>
      </w:r>
      <w:r w:rsidR="00E30A71">
        <w:fldChar w:fldCharType="begin"/>
      </w:r>
      <w:r w:rsidR="00E30A71">
        <w:instrText xml:space="preserve"> REF _Ref105052251 \h </w:instrText>
      </w:r>
      <w:r w:rsidR="00E30A71">
        <w:fldChar w:fldCharType="separate"/>
      </w:r>
      <w:r w:rsidR="0068250C">
        <w:t>Table B-</w:t>
      </w:r>
      <w:r w:rsidR="0068250C">
        <w:rPr>
          <w:noProof/>
        </w:rPr>
        <w:t>1</w:t>
      </w:r>
      <w:r w:rsidR="00E30A71">
        <w:fldChar w:fldCharType="end"/>
      </w:r>
      <w:r w:rsidR="00032152">
        <w:t xml:space="preserve"> below:</w:t>
      </w:r>
    </w:p>
    <w:p w14:paraId="27D621E7" w14:textId="6273A4A7" w:rsidR="007C1BA4" w:rsidRDefault="007C1BA4" w:rsidP="00E375A2">
      <w:pPr>
        <w:pStyle w:val="NoteToDrafters-ASDEFCON"/>
        <w:rPr>
          <w:noProof/>
        </w:rPr>
      </w:pPr>
      <w:r>
        <w:rPr>
          <w:noProof/>
        </w:rPr>
        <w:t>Note to drafters:  Some Annexes will include a file with the appropriate pricing table, such as a PDF copy of a worksheet from the</w:t>
      </w:r>
      <w:r w:rsidR="006161A9">
        <w:rPr>
          <w:noProof/>
        </w:rPr>
        <w:t xml:space="preserve"> C</w:t>
      </w:r>
      <w:r w:rsidR="00C451BB">
        <w:rPr>
          <w:noProof/>
        </w:rPr>
        <w:t>omplex Services</w:t>
      </w:r>
      <w:r w:rsidR="006161A9">
        <w:rPr>
          <w:noProof/>
        </w:rPr>
        <w:t xml:space="preserve"> Pricing Workbook (CS</w:t>
      </w:r>
      <w:r w:rsidR="00C451BB">
        <w:rPr>
          <w:noProof/>
        </w:rPr>
        <w:t>ER</w:t>
      </w:r>
      <w:r w:rsidR="006161A9">
        <w:rPr>
          <w:noProof/>
        </w:rPr>
        <w:t>PW)</w:t>
      </w:r>
      <w:r>
        <w:rPr>
          <w:noProof/>
        </w:rPr>
        <w:t xml:space="preserve">  For Recurring Services, multiple schedules </w:t>
      </w:r>
      <w:r w:rsidR="009E232B">
        <w:rPr>
          <w:noProof/>
        </w:rPr>
        <w:t>may</w:t>
      </w:r>
      <w:r>
        <w:rPr>
          <w:noProof/>
        </w:rPr>
        <w:t xml:space="preserve"> be included under Annex B.  Update the following table for the Annexes (and schedules) to be included in the draft Contract.  Files names may be added prior to ED, when known.  The examples below are based on the tabs for worksheets within the </w:t>
      </w:r>
      <w:r w:rsidR="006161A9" w:rsidRPr="006161A9">
        <w:rPr>
          <w:noProof/>
        </w:rPr>
        <w:t>CS</w:t>
      </w:r>
      <w:r w:rsidR="00C451BB">
        <w:rPr>
          <w:noProof/>
        </w:rPr>
        <w:t>ER</w:t>
      </w:r>
      <w:r w:rsidR="006161A9" w:rsidRPr="006161A9">
        <w:rPr>
          <w:noProof/>
        </w:rPr>
        <w:t>PW</w:t>
      </w:r>
      <w:r w:rsidR="00775F62" w:rsidRPr="006161A9">
        <w:rPr>
          <w:noProof/>
        </w:rPr>
        <w:t xml:space="preserve"> </w:t>
      </w:r>
      <w:r w:rsidR="00775F62" w:rsidRPr="00FA7EF5">
        <w:rPr>
          <w:noProof/>
        </w:rPr>
        <w:t xml:space="preserve">and the separate word file for </w:t>
      </w:r>
      <w:r w:rsidR="00775F62">
        <w:rPr>
          <w:noProof/>
        </w:rPr>
        <w:t>Annex E</w:t>
      </w:r>
      <w:r>
        <w:rPr>
          <w:noProof/>
        </w:rPr>
        <w:t>.</w:t>
      </w:r>
    </w:p>
    <w:p w14:paraId="78D8AAC5" w14:textId="1873C6BC" w:rsidR="00E30A71" w:rsidRDefault="00E30A71" w:rsidP="00E375A2">
      <w:pPr>
        <w:pStyle w:val="NoteToDrafters-ASDEFCON"/>
        <w:rPr>
          <w:noProof/>
        </w:rPr>
      </w:pPr>
      <w:r>
        <w:rPr>
          <w:noProof/>
        </w:rPr>
        <w:t xml:space="preserve">If the draft Contract will signifcantly exceed the expected use of the template, for example, by </w:t>
      </w:r>
      <w:r w:rsidR="00112F10">
        <w:rPr>
          <w:noProof/>
        </w:rPr>
        <w:t>exceed</w:t>
      </w:r>
      <w:r w:rsidR="001B6DFD">
        <w:rPr>
          <w:noProof/>
        </w:rPr>
        <w:t>ing a value of more than</w:t>
      </w:r>
      <w:r w:rsidR="00112F10">
        <w:rPr>
          <w:noProof/>
        </w:rPr>
        <w:t xml:space="preserve"> A$20m per year (and </w:t>
      </w:r>
      <w:r w:rsidR="001B6DFD">
        <w:rPr>
          <w:noProof/>
        </w:rPr>
        <w:t xml:space="preserve">relevant AIC requirements and </w:t>
      </w:r>
      <w:r w:rsidR="00112F10">
        <w:rPr>
          <w:noProof/>
        </w:rPr>
        <w:t>‘prescribed ACE percentages’ being applicable), drafter</w:t>
      </w:r>
      <w:r w:rsidR="009C1B11">
        <w:rPr>
          <w:noProof/>
        </w:rPr>
        <w:t>s</w:t>
      </w:r>
      <w:r w:rsidR="00112F10">
        <w:rPr>
          <w:noProof/>
        </w:rPr>
        <w:t xml:space="preserve"> should consider using the Support Pricing Workbook and </w:t>
      </w:r>
      <w:r w:rsidR="00FB3300">
        <w:rPr>
          <w:noProof/>
        </w:rPr>
        <w:t>updating this Attachment (and TDR D) to those used for ASDEFCON (Support).</w:t>
      </w:r>
    </w:p>
    <w:p w14:paraId="5CDF702F" w14:textId="77777777" w:rsidR="007C1BA4" w:rsidRDefault="007C1BA4" w:rsidP="007C1BA4">
      <w:pPr>
        <w:pStyle w:val="ASDEFCONOptionSpace"/>
        <w:rPr>
          <w:noProof/>
        </w:rPr>
      </w:pPr>
    </w:p>
    <w:p w14:paraId="10FBBCC7" w14:textId="1A0322F7" w:rsidR="00E30A71" w:rsidRDefault="00E30A71" w:rsidP="006161A9">
      <w:pPr>
        <w:pStyle w:val="Caption"/>
        <w:keepNext/>
      </w:pPr>
      <w:bookmarkStart w:id="2" w:name="_Ref105052251"/>
      <w:r>
        <w:t>Table B-</w:t>
      </w:r>
      <w:r w:rsidR="00711312">
        <w:fldChar w:fldCharType="begin"/>
      </w:r>
      <w:r w:rsidR="00711312">
        <w:instrText xml:space="preserve"> SEQ Table \* ARABIC </w:instrText>
      </w:r>
      <w:r w:rsidR="00711312">
        <w:fldChar w:fldCharType="separate"/>
      </w:r>
      <w:r w:rsidR="0068250C">
        <w:rPr>
          <w:noProof/>
        </w:rPr>
        <w:t>1</w:t>
      </w:r>
      <w:r w:rsidR="00711312">
        <w:rPr>
          <w:noProof/>
        </w:rPr>
        <w:fldChar w:fldCharType="end"/>
      </w:r>
      <w:bookmarkEnd w:id="2"/>
      <w:r>
        <w:t>: Annexes to Attachment B</w:t>
      </w:r>
    </w:p>
    <w:tbl>
      <w:tblPr>
        <w:tblStyle w:val="TableGrid"/>
        <w:tblW w:w="9094" w:type="dxa"/>
        <w:tblLayout w:type="fixed"/>
        <w:tblLook w:val="04A0" w:firstRow="1" w:lastRow="0" w:firstColumn="1" w:lastColumn="0" w:noHBand="0" w:noVBand="1"/>
      </w:tblPr>
      <w:tblGrid>
        <w:gridCol w:w="2405"/>
        <w:gridCol w:w="2126"/>
        <w:gridCol w:w="4563"/>
      </w:tblGrid>
      <w:tr w:rsidR="00032152" w14:paraId="6FA97493" w14:textId="77777777" w:rsidTr="006B4DCB">
        <w:tc>
          <w:tcPr>
            <w:tcW w:w="2405" w:type="dxa"/>
            <w:shd w:val="pct10" w:color="auto" w:fill="auto"/>
          </w:tcPr>
          <w:p w14:paraId="02DFB00B" w14:textId="4D266691" w:rsidR="00032152" w:rsidRDefault="00CB3B6B" w:rsidP="007C1BA4">
            <w:pPr>
              <w:pStyle w:val="Table10ptHeading-ASDEFCON"/>
            </w:pPr>
            <w:r>
              <w:t xml:space="preserve">Attachment B </w:t>
            </w:r>
            <w:r>
              <w:br/>
              <w:t>Clause R</w:t>
            </w:r>
            <w:r w:rsidR="00032152">
              <w:t>ef</w:t>
            </w:r>
            <w:r>
              <w:t>erence</w:t>
            </w:r>
          </w:p>
        </w:tc>
        <w:tc>
          <w:tcPr>
            <w:tcW w:w="2126" w:type="dxa"/>
            <w:shd w:val="pct10" w:color="auto" w:fill="auto"/>
          </w:tcPr>
          <w:p w14:paraId="5A7137DD" w14:textId="0EC8852F" w:rsidR="00032152" w:rsidRDefault="00032152" w:rsidP="007C1BA4">
            <w:pPr>
              <w:pStyle w:val="Table10ptHeading-ASDEFCON"/>
            </w:pPr>
            <w:r>
              <w:t>Associated Annex</w:t>
            </w:r>
          </w:p>
        </w:tc>
        <w:tc>
          <w:tcPr>
            <w:tcW w:w="4563" w:type="dxa"/>
            <w:shd w:val="pct10" w:color="auto" w:fill="auto"/>
          </w:tcPr>
          <w:p w14:paraId="4478F706" w14:textId="3EF3A3A9" w:rsidR="00032152" w:rsidRDefault="00032152" w:rsidP="007C1BA4">
            <w:pPr>
              <w:pStyle w:val="Table10ptHeading-ASDEFCON"/>
            </w:pPr>
            <w:r>
              <w:t>Annex File Names</w:t>
            </w:r>
          </w:p>
        </w:tc>
      </w:tr>
      <w:tr w:rsidR="009B500E" w14:paraId="2CD31382" w14:textId="77777777" w:rsidTr="006B4DCB">
        <w:tc>
          <w:tcPr>
            <w:tcW w:w="2405" w:type="dxa"/>
          </w:tcPr>
          <w:p w14:paraId="7AE7C73B" w14:textId="1FEB33CE" w:rsidR="007F598D" w:rsidRDefault="007F598D" w:rsidP="009C1B11">
            <w:pPr>
              <w:pStyle w:val="Table10ptText-ASDEFCON"/>
              <w:jc w:val="center"/>
            </w:pPr>
            <w:bookmarkStart w:id="3" w:name="_Ref114579835"/>
            <w:r>
              <w:t>2</w:t>
            </w:r>
            <w:bookmarkEnd w:id="3"/>
          </w:p>
          <w:p w14:paraId="6D399C19" w14:textId="7663AA25" w:rsidR="007F598D" w:rsidRDefault="007F598D" w:rsidP="009C1B11">
            <w:pPr>
              <w:pStyle w:val="Table10ptText-ASDEFCON"/>
              <w:jc w:val="center"/>
            </w:pPr>
            <w:r>
              <w:t>Milestone Payments (OPTIONAL)</w:t>
            </w:r>
          </w:p>
        </w:tc>
        <w:tc>
          <w:tcPr>
            <w:tcW w:w="2126" w:type="dxa"/>
          </w:tcPr>
          <w:p w14:paraId="39804698" w14:textId="45662E2C" w:rsidR="003A3268" w:rsidRDefault="00E14B12" w:rsidP="00374FDA">
            <w:pPr>
              <w:pStyle w:val="Table10ptText-ASDEFCON"/>
            </w:pPr>
            <w:r>
              <w:t>Annex A</w:t>
            </w:r>
            <w:r w:rsidR="009627C4">
              <w:br/>
            </w:r>
            <w:r w:rsidR="003A3268">
              <w:t xml:space="preserve">Milestone Payments </w:t>
            </w:r>
          </w:p>
          <w:p w14:paraId="56265315" w14:textId="31674866" w:rsidR="00CE2C8B" w:rsidRDefault="00CE2C8B" w:rsidP="009627C4">
            <w:pPr>
              <w:pStyle w:val="Table10ptText-ASDEFCON"/>
            </w:pPr>
            <w:r>
              <w:t>Annex B</w:t>
            </w:r>
            <w:r w:rsidR="009627C4">
              <w:br/>
            </w:r>
            <w:r>
              <w:t xml:space="preserve">Milestone </w:t>
            </w:r>
            <w:r w:rsidR="00CD2AD5">
              <w:t xml:space="preserve">Schedule and </w:t>
            </w:r>
            <w:r>
              <w:t>Criteria</w:t>
            </w:r>
          </w:p>
        </w:tc>
        <w:tc>
          <w:tcPr>
            <w:tcW w:w="4563" w:type="dxa"/>
          </w:tcPr>
          <w:p w14:paraId="64922D2E" w14:textId="3A7EA689" w:rsidR="009B500E" w:rsidRDefault="009C1B11" w:rsidP="009C1B11">
            <w:pPr>
              <w:pStyle w:val="Table10ptText-ASDEFCON"/>
              <w:rPr>
                <w:i/>
              </w:rPr>
            </w:pPr>
            <w:r w:rsidRPr="009C1B11">
              <w:rPr>
                <w:i/>
              </w:rPr>
              <w:t>Milestone Schedule</w:t>
            </w:r>
          </w:p>
          <w:p w14:paraId="174E2AF7" w14:textId="325B28D6" w:rsidR="00CE2C8B" w:rsidRPr="009C1B11" w:rsidRDefault="00CE2C8B" w:rsidP="002200D9">
            <w:pPr>
              <w:pStyle w:val="Table10ptText-ASDEFCON"/>
              <w:numPr>
                <w:ilvl w:val="0"/>
                <w:numId w:val="0"/>
              </w:numPr>
              <w:rPr>
                <w:i/>
              </w:rPr>
            </w:pPr>
            <w:r>
              <w:rPr>
                <w:i/>
              </w:rPr>
              <w:t>A</w:t>
            </w:r>
            <w:r w:rsidRPr="00D16925">
              <w:rPr>
                <w:i/>
              </w:rPr>
              <w:t>SDEFCON_</w:t>
            </w:r>
            <w:r>
              <w:rPr>
                <w:i/>
              </w:rPr>
              <w:t>CSERV_V1</w:t>
            </w:r>
            <w:r w:rsidRPr="00D16925">
              <w:rPr>
                <w:i/>
              </w:rPr>
              <w:t>.0_COC_ATTB_ANN</w:t>
            </w:r>
            <w:r>
              <w:rPr>
                <w:i/>
              </w:rPr>
              <w:t>B</w:t>
            </w:r>
            <w:r w:rsidRPr="00D16925">
              <w:rPr>
                <w:i/>
              </w:rPr>
              <w:t>_</w:t>
            </w:r>
            <w:r>
              <w:rPr>
                <w:i/>
              </w:rPr>
              <w:t>Milestone</w:t>
            </w:r>
            <w:r w:rsidR="00CD2AD5">
              <w:rPr>
                <w:i/>
              </w:rPr>
              <w:t>Sche</w:t>
            </w:r>
            <w:r w:rsidR="00F15A1A">
              <w:rPr>
                <w:i/>
              </w:rPr>
              <w:t>d</w:t>
            </w:r>
            <w:r w:rsidR="00CD2AD5">
              <w:rPr>
                <w:i/>
              </w:rPr>
              <w:t>ule</w:t>
            </w:r>
            <w:r w:rsidR="001B6DFD">
              <w:rPr>
                <w:i/>
              </w:rPr>
              <w:t xml:space="preserve"> </w:t>
            </w:r>
            <w:r w:rsidR="00CD2AD5">
              <w:rPr>
                <w:i/>
              </w:rPr>
              <w:t>and</w:t>
            </w:r>
            <w:r w:rsidR="001B6DFD">
              <w:rPr>
                <w:i/>
              </w:rPr>
              <w:t xml:space="preserve"> </w:t>
            </w:r>
            <w:r>
              <w:rPr>
                <w:i/>
              </w:rPr>
              <w:t xml:space="preserve">Criteria </w:t>
            </w:r>
          </w:p>
        </w:tc>
      </w:tr>
      <w:tr w:rsidR="009E232B" w14:paraId="7AC8B323" w14:textId="77777777" w:rsidTr="006B4DCB">
        <w:tc>
          <w:tcPr>
            <w:tcW w:w="2405" w:type="dxa"/>
          </w:tcPr>
          <w:p w14:paraId="6A5C19F4" w14:textId="6E3A6F4F" w:rsidR="0074674F" w:rsidRDefault="007F598D" w:rsidP="00E30A71">
            <w:pPr>
              <w:pStyle w:val="Table10ptText-ASDEFCON"/>
              <w:spacing w:line="240" w:lineRule="auto"/>
              <w:jc w:val="center"/>
            </w:pPr>
            <w:bookmarkStart w:id="4" w:name="_Ref114579855"/>
            <w:r>
              <w:t>3</w:t>
            </w:r>
            <w:bookmarkEnd w:id="4"/>
          </w:p>
          <w:p w14:paraId="1CF2E63D" w14:textId="76952A4D" w:rsidR="009E232B" w:rsidRDefault="000E15BE" w:rsidP="000E15BE">
            <w:pPr>
              <w:pStyle w:val="Table10ptText-ASDEFCON"/>
              <w:jc w:val="center"/>
            </w:pPr>
            <w:r>
              <w:fldChar w:fldCharType="begin"/>
            </w:r>
            <w:r>
              <w:instrText xml:space="preserve"> REF _Ref138582399 \h </w:instrText>
            </w:r>
            <w:r>
              <w:fldChar w:fldCharType="separate"/>
            </w:r>
            <w:r>
              <w:t>Recurring Services (CORE)</w:t>
            </w:r>
            <w:r>
              <w:fldChar w:fldCharType="end"/>
            </w:r>
          </w:p>
        </w:tc>
        <w:tc>
          <w:tcPr>
            <w:tcW w:w="2126" w:type="dxa"/>
          </w:tcPr>
          <w:p w14:paraId="4B8385C2" w14:textId="27CF65EB" w:rsidR="0074674F" w:rsidRDefault="009E232B" w:rsidP="00E30A71">
            <w:pPr>
              <w:pStyle w:val="Table10ptText-ASDEFCON"/>
              <w:spacing w:line="240" w:lineRule="auto"/>
            </w:pPr>
            <w:bookmarkStart w:id="5" w:name="_Ref94692710"/>
            <w:r>
              <w:t xml:space="preserve">Annex </w:t>
            </w:r>
            <w:r w:rsidR="00CE2C8B">
              <w:t>C</w:t>
            </w:r>
          </w:p>
          <w:p w14:paraId="2D7771C7" w14:textId="2C5B7425" w:rsidR="009E232B" w:rsidRDefault="009E232B" w:rsidP="00E30A71">
            <w:pPr>
              <w:pStyle w:val="Table10ptText-ASDEFCON"/>
              <w:spacing w:line="240" w:lineRule="auto"/>
            </w:pPr>
            <w:r w:rsidRPr="0066273A">
              <w:t>Recurring Services</w:t>
            </w:r>
            <w:bookmarkEnd w:id="5"/>
          </w:p>
        </w:tc>
        <w:tc>
          <w:tcPr>
            <w:tcW w:w="4563" w:type="dxa"/>
          </w:tcPr>
          <w:p w14:paraId="2E687A5D" w14:textId="5BF94295" w:rsidR="009E232B" w:rsidRPr="0019339F" w:rsidRDefault="009E232B" w:rsidP="009E232B">
            <w:pPr>
              <w:pStyle w:val="Table10ptText-ASDEFCON"/>
              <w:rPr>
                <w:i/>
                <w:iCs/>
              </w:rPr>
            </w:pPr>
            <w:r w:rsidRPr="0019339F">
              <w:rPr>
                <w:i/>
                <w:iCs/>
              </w:rPr>
              <w:t xml:space="preserve">Schedule 1: </w:t>
            </w:r>
            <w:r w:rsidR="00E32E4E" w:rsidRPr="0019339F">
              <w:rPr>
                <w:i/>
                <w:iCs/>
              </w:rPr>
              <w:t>Recurring</w:t>
            </w:r>
            <w:r w:rsidRPr="0019339F">
              <w:rPr>
                <w:i/>
                <w:iCs/>
              </w:rPr>
              <w:t xml:space="preserve"> Services OD to X</w:t>
            </w:r>
          </w:p>
          <w:p w14:paraId="792B060B" w14:textId="3E14629F" w:rsidR="009E232B" w:rsidRPr="006161A9" w:rsidRDefault="009E232B" w:rsidP="009E232B">
            <w:pPr>
              <w:pStyle w:val="Table10ptText-ASDEFCON"/>
              <w:rPr>
                <w:i/>
              </w:rPr>
            </w:pPr>
            <w:r w:rsidRPr="006161A9">
              <w:rPr>
                <w:i/>
              </w:rPr>
              <w:t xml:space="preserve">Schedule 2: </w:t>
            </w:r>
            <w:r w:rsidR="00E32E4E" w:rsidRPr="006161A9">
              <w:rPr>
                <w:i/>
              </w:rPr>
              <w:t>Recurring</w:t>
            </w:r>
            <w:r w:rsidRPr="006161A9">
              <w:rPr>
                <w:i/>
              </w:rPr>
              <w:t xml:space="preserve"> Services X to Y</w:t>
            </w:r>
          </w:p>
          <w:p w14:paraId="5A549AEF" w14:textId="63694843" w:rsidR="009E232B" w:rsidRPr="007C1BA4" w:rsidRDefault="009E232B" w:rsidP="006B4DCB">
            <w:pPr>
              <w:pStyle w:val="Table10ptText-ASDEFCON"/>
              <w:rPr>
                <w:highlight w:val="yellow"/>
              </w:rPr>
            </w:pPr>
            <w:r w:rsidRPr="006161A9">
              <w:rPr>
                <w:i/>
              </w:rPr>
              <w:t xml:space="preserve">Schedule 3: </w:t>
            </w:r>
            <w:r w:rsidR="00E32E4E" w:rsidRPr="006161A9">
              <w:rPr>
                <w:i/>
              </w:rPr>
              <w:t>Recurring</w:t>
            </w:r>
            <w:r w:rsidRPr="006161A9">
              <w:rPr>
                <w:i/>
              </w:rPr>
              <w:t xml:space="preserve"> Services Y to Z</w:t>
            </w:r>
          </w:p>
        </w:tc>
      </w:tr>
      <w:tr w:rsidR="00032152" w14:paraId="6B189B1C" w14:textId="77777777" w:rsidTr="006B4DCB">
        <w:tc>
          <w:tcPr>
            <w:tcW w:w="2405" w:type="dxa"/>
          </w:tcPr>
          <w:p w14:paraId="3D7D0324" w14:textId="55375527" w:rsidR="00032152" w:rsidRDefault="00032152" w:rsidP="00E30A71">
            <w:pPr>
              <w:pStyle w:val="Table10ptText-ASDEFCON"/>
              <w:spacing w:line="240" w:lineRule="auto"/>
              <w:jc w:val="center"/>
            </w:pPr>
            <w:r>
              <w:fldChar w:fldCharType="begin"/>
            </w:r>
            <w:r>
              <w:instrText xml:space="preserve"> REF _Ref94692858 \w \h </w:instrText>
            </w:r>
            <w:r w:rsidR="0074674F">
              <w:instrText xml:space="preserve"> \* MERGEFORMAT </w:instrText>
            </w:r>
            <w:r>
              <w:fldChar w:fldCharType="separate"/>
            </w:r>
            <w:r w:rsidR="001562DF">
              <w:t>4</w:t>
            </w:r>
            <w:r>
              <w:fldChar w:fldCharType="end"/>
            </w:r>
          </w:p>
          <w:p w14:paraId="5D95638D" w14:textId="3207908D" w:rsidR="00032152" w:rsidRDefault="00032152" w:rsidP="00E96485">
            <w:pPr>
              <w:pStyle w:val="Table10ptText-ASDEFCON"/>
              <w:spacing w:line="240" w:lineRule="auto"/>
              <w:jc w:val="center"/>
            </w:pPr>
            <w:r>
              <w:fldChar w:fldCharType="begin"/>
            </w:r>
            <w:r>
              <w:instrText xml:space="preserve"> REF _Ref94692858 \h </w:instrText>
            </w:r>
            <w:r w:rsidR="0074674F">
              <w:instrText xml:space="preserve"> \* MERGEFORMAT </w:instrText>
            </w:r>
            <w:r>
              <w:fldChar w:fldCharType="separate"/>
            </w:r>
            <w:r w:rsidR="001562DF">
              <w:t>Task-Priced Services (OPTIONAL)</w:t>
            </w:r>
            <w:r>
              <w:fldChar w:fldCharType="end"/>
            </w:r>
          </w:p>
        </w:tc>
        <w:tc>
          <w:tcPr>
            <w:tcW w:w="2126" w:type="dxa"/>
          </w:tcPr>
          <w:p w14:paraId="4F452912" w14:textId="66417AB2" w:rsidR="0074674F" w:rsidRDefault="009E232B" w:rsidP="00E30A71">
            <w:pPr>
              <w:pStyle w:val="Table10ptText-ASDEFCON"/>
              <w:spacing w:line="240" w:lineRule="auto"/>
            </w:pPr>
            <w:r>
              <w:t xml:space="preserve">Annex </w:t>
            </w:r>
            <w:r w:rsidR="00CE2C8B">
              <w:t>D</w:t>
            </w:r>
          </w:p>
          <w:p w14:paraId="4718FBE1" w14:textId="0CAC765B" w:rsidR="00032152" w:rsidRPr="0066273A" w:rsidRDefault="00032152" w:rsidP="00E30A71">
            <w:pPr>
              <w:pStyle w:val="Table10ptText-ASDEFCON"/>
              <w:spacing w:line="240" w:lineRule="auto"/>
            </w:pPr>
            <w:r w:rsidRPr="0066273A">
              <w:t>Task-Priced Services</w:t>
            </w:r>
            <w:r>
              <w:t xml:space="preserve"> </w:t>
            </w:r>
          </w:p>
        </w:tc>
        <w:tc>
          <w:tcPr>
            <w:tcW w:w="4563" w:type="dxa"/>
          </w:tcPr>
          <w:p w14:paraId="2483B08B" w14:textId="72743C53" w:rsidR="00032152" w:rsidRPr="00FC4375" w:rsidRDefault="00032152" w:rsidP="007C1BA4">
            <w:pPr>
              <w:pStyle w:val="Table10ptText-ASDEFCON"/>
              <w:rPr>
                <w:i/>
              </w:rPr>
            </w:pPr>
            <w:r>
              <w:rPr>
                <w:i/>
              </w:rPr>
              <w:t>Task Priced Services</w:t>
            </w:r>
          </w:p>
        </w:tc>
      </w:tr>
      <w:tr w:rsidR="001F53B5" w14:paraId="4E2469EF" w14:textId="77777777" w:rsidTr="006B4DCB">
        <w:tc>
          <w:tcPr>
            <w:tcW w:w="2405" w:type="dxa"/>
          </w:tcPr>
          <w:p w14:paraId="3449333D" w14:textId="4F457258" w:rsidR="001F53B5" w:rsidRDefault="001F53B5" w:rsidP="001F53B5">
            <w:pPr>
              <w:pStyle w:val="Table10ptText-ASDEFCON"/>
              <w:spacing w:line="240" w:lineRule="auto"/>
              <w:jc w:val="center"/>
            </w:pPr>
            <w:r>
              <w:fldChar w:fldCharType="begin"/>
            </w:r>
            <w:r>
              <w:instrText xml:space="preserve"> REF _Ref94692896 \w \h  \* MERGEFORMAT </w:instrText>
            </w:r>
            <w:r>
              <w:fldChar w:fldCharType="separate"/>
            </w:r>
            <w:r w:rsidR="001562DF">
              <w:t>5</w:t>
            </w:r>
            <w:r>
              <w:fldChar w:fldCharType="end"/>
            </w:r>
          </w:p>
          <w:p w14:paraId="2A03807A" w14:textId="09968FD4" w:rsidR="001F53B5" w:rsidRDefault="001F53B5" w:rsidP="001F53B5">
            <w:pPr>
              <w:pStyle w:val="Table10ptText-ASDEFCON"/>
              <w:spacing w:line="240" w:lineRule="auto"/>
              <w:jc w:val="center"/>
            </w:pPr>
            <w:r>
              <w:fldChar w:fldCharType="begin"/>
            </w:r>
            <w:r>
              <w:instrText xml:space="preserve"> REF _Ref94692896 \h  \* MERGEFORMAT </w:instrText>
            </w:r>
            <w:r>
              <w:fldChar w:fldCharType="separate"/>
            </w:r>
            <w:r w:rsidR="001562DF">
              <w:t>S&amp;Q Services (CORE)</w:t>
            </w:r>
            <w:r>
              <w:fldChar w:fldCharType="end"/>
            </w:r>
          </w:p>
        </w:tc>
        <w:tc>
          <w:tcPr>
            <w:tcW w:w="2126" w:type="dxa"/>
          </w:tcPr>
          <w:p w14:paraId="29CE46DF" w14:textId="11CD2C9D" w:rsidR="001F53B5" w:rsidRDefault="001F53B5" w:rsidP="001F53B5">
            <w:pPr>
              <w:pStyle w:val="Table10ptText-ASDEFCON"/>
              <w:spacing w:line="240" w:lineRule="auto"/>
            </w:pPr>
            <w:r>
              <w:t>Annex E</w:t>
            </w:r>
          </w:p>
          <w:p w14:paraId="6364932C" w14:textId="4B843411" w:rsidR="001F53B5" w:rsidRPr="0066273A" w:rsidRDefault="001F53B5" w:rsidP="001F53B5">
            <w:pPr>
              <w:pStyle w:val="Table10ptText-ASDEFCON"/>
              <w:spacing w:line="240" w:lineRule="auto"/>
            </w:pPr>
            <w:r w:rsidRPr="0066273A">
              <w:t>S</w:t>
            </w:r>
            <w:r>
              <w:t>&amp;</w:t>
            </w:r>
            <w:r w:rsidRPr="0066273A">
              <w:t>Q Services</w:t>
            </w:r>
            <w:r>
              <w:t xml:space="preserve"> </w:t>
            </w:r>
          </w:p>
        </w:tc>
        <w:tc>
          <w:tcPr>
            <w:tcW w:w="4563" w:type="dxa"/>
          </w:tcPr>
          <w:p w14:paraId="246EEA6F" w14:textId="2742F1F3" w:rsidR="001F53B5" w:rsidRPr="00FC4375" w:rsidRDefault="001F53B5" w:rsidP="001F53B5">
            <w:pPr>
              <w:pStyle w:val="Table10ptText-ASDEFCON"/>
              <w:rPr>
                <w:i/>
              </w:rPr>
            </w:pPr>
            <w:r>
              <w:rPr>
                <w:i/>
              </w:rPr>
              <w:t>S and Q Services</w:t>
            </w:r>
          </w:p>
        </w:tc>
      </w:tr>
      <w:tr w:rsidR="001F53B5" w14:paraId="677F0F5B" w14:textId="77777777" w:rsidTr="006B4DCB">
        <w:tc>
          <w:tcPr>
            <w:tcW w:w="2405" w:type="dxa"/>
          </w:tcPr>
          <w:p w14:paraId="26411CF1" w14:textId="7270A2FF" w:rsidR="001F53B5" w:rsidRDefault="001F53B5" w:rsidP="001F53B5">
            <w:pPr>
              <w:pStyle w:val="Table10ptText-ASDEFCON"/>
              <w:spacing w:line="240" w:lineRule="auto"/>
              <w:jc w:val="center"/>
            </w:pPr>
            <w:r>
              <w:fldChar w:fldCharType="begin"/>
            </w:r>
            <w:r>
              <w:instrText xml:space="preserve"> REF _Ref94692914 \w \h  \* MERGEFORMAT </w:instrText>
            </w:r>
            <w:r>
              <w:fldChar w:fldCharType="separate"/>
            </w:r>
            <w:r w:rsidR="001562DF">
              <w:t>6</w:t>
            </w:r>
            <w:r>
              <w:fldChar w:fldCharType="end"/>
            </w:r>
          </w:p>
          <w:p w14:paraId="6600C5D8" w14:textId="62499713" w:rsidR="001F53B5" w:rsidRDefault="001F53B5" w:rsidP="001F53B5">
            <w:pPr>
              <w:pStyle w:val="Table10ptText-ASDEFCON"/>
              <w:spacing w:line="240" w:lineRule="auto"/>
              <w:jc w:val="center"/>
            </w:pPr>
            <w:r>
              <w:fldChar w:fldCharType="begin"/>
            </w:r>
            <w:r>
              <w:instrText xml:space="preserve"> REF _Ref94692914 \h  \* MERGEFORMAT </w:instrText>
            </w:r>
            <w:r>
              <w:fldChar w:fldCharType="separate"/>
            </w:r>
            <w:r w:rsidR="001562DF">
              <w:t>Adjustments (CORE)</w:t>
            </w:r>
            <w:r>
              <w:fldChar w:fldCharType="end"/>
            </w:r>
          </w:p>
        </w:tc>
        <w:tc>
          <w:tcPr>
            <w:tcW w:w="2126" w:type="dxa"/>
          </w:tcPr>
          <w:p w14:paraId="01075BB9" w14:textId="31C361D8" w:rsidR="001F53B5" w:rsidRDefault="001F53B5" w:rsidP="001F53B5">
            <w:pPr>
              <w:pStyle w:val="Table10ptText-ASDEFCON"/>
              <w:spacing w:line="240" w:lineRule="auto"/>
            </w:pPr>
            <w:r>
              <w:t>Annex F</w:t>
            </w:r>
          </w:p>
          <w:p w14:paraId="46B2EF5F" w14:textId="3100A6AF" w:rsidR="001F53B5" w:rsidRPr="0066273A" w:rsidRDefault="001F53B5" w:rsidP="001F53B5">
            <w:pPr>
              <w:pStyle w:val="Table10ptText-ASDEFCON"/>
              <w:spacing w:line="240" w:lineRule="auto"/>
            </w:pPr>
            <w:r w:rsidRPr="0066273A">
              <w:t>Adjustments</w:t>
            </w:r>
          </w:p>
        </w:tc>
        <w:tc>
          <w:tcPr>
            <w:tcW w:w="4563" w:type="dxa"/>
          </w:tcPr>
          <w:p w14:paraId="5995EBAC" w14:textId="5A7FBE16" w:rsidR="001F53B5" w:rsidRPr="00FC4375" w:rsidRDefault="001F53B5" w:rsidP="001F53B5">
            <w:pPr>
              <w:pStyle w:val="Table10ptText-ASDEFCON"/>
              <w:rPr>
                <w:i/>
              </w:rPr>
            </w:pPr>
            <w:r>
              <w:rPr>
                <w:i/>
              </w:rPr>
              <w:t>Adjustments</w:t>
            </w:r>
          </w:p>
        </w:tc>
      </w:tr>
      <w:tr w:rsidR="001F53B5" w14:paraId="7307F6FD" w14:textId="77777777" w:rsidTr="006B4DCB">
        <w:tc>
          <w:tcPr>
            <w:tcW w:w="2405" w:type="dxa"/>
          </w:tcPr>
          <w:p w14:paraId="267D33F6" w14:textId="2F8D71C0" w:rsidR="001F53B5" w:rsidRDefault="0019339F" w:rsidP="001F53B5">
            <w:pPr>
              <w:pStyle w:val="Table10ptText-ASDEFCON"/>
              <w:spacing w:line="240" w:lineRule="auto"/>
              <w:jc w:val="center"/>
            </w:pPr>
            <w:r>
              <w:t>7</w:t>
            </w:r>
          </w:p>
          <w:p w14:paraId="711ADCA8" w14:textId="23C82999" w:rsidR="001F53B5" w:rsidRDefault="001F53B5" w:rsidP="001F53B5">
            <w:pPr>
              <w:pStyle w:val="Table10ptText-ASDEFCON"/>
              <w:spacing w:line="240" w:lineRule="auto"/>
              <w:jc w:val="center"/>
            </w:pPr>
            <w:r>
              <w:fldChar w:fldCharType="begin"/>
            </w:r>
            <w:r>
              <w:instrText xml:space="preserve"> REF _Ref94692990 \h  \* MERGEFORMAT </w:instrText>
            </w:r>
            <w:r>
              <w:fldChar w:fldCharType="separate"/>
            </w:r>
            <w:r w:rsidR="001562DF">
              <w:t>Performance Assessment and Performance Payments (OPTIONAL)</w:t>
            </w:r>
            <w:r>
              <w:fldChar w:fldCharType="end"/>
            </w:r>
          </w:p>
        </w:tc>
        <w:tc>
          <w:tcPr>
            <w:tcW w:w="2126" w:type="dxa"/>
          </w:tcPr>
          <w:p w14:paraId="61370BF3" w14:textId="36615518" w:rsidR="001F53B5" w:rsidRDefault="001F53B5" w:rsidP="001F53B5">
            <w:pPr>
              <w:pStyle w:val="Table10ptText-ASDEFCON"/>
              <w:spacing w:line="240" w:lineRule="auto"/>
            </w:pPr>
            <w:r>
              <w:t>Annex G</w:t>
            </w:r>
          </w:p>
          <w:p w14:paraId="2E900B86" w14:textId="006FEF2C" w:rsidR="001F53B5" w:rsidRPr="0066273A" w:rsidRDefault="001F53B5" w:rsidP="001F53B5">
            <w:pPr>
              <w:pStyle w:val="Table10ptText-ASDEFCON"/>
              <w:spacing w:line="240" w:lineRule="auto"/>
            </w:pPr>
            <w:r>
              <w:t>Performance Assessment and Performance Payments (Optional)</w:t>
            </w:r>
          </w:p>
        </w:tc>
        <w:tc>
          <w:tcPr>
            <w:tcW w:w="4563" w:type="dxa"/>
          </w:tcPr>
          <w:p w14:paraId="6716DC22" w14:textId="57AE65A9" w:rsidR="001F53B5" w:rsidRDefault="001F53B5" w:rsidP="001F53B5">
            <w:pPr>
              <w:pStyle w:val="Table10ptText-ASDEFCON"/>
              <w:rPr>
                <w:i/>
              </w:rPr>
            </w:pPr>
            <w:r w:rsidRPr="00D16925">
              <w:rPr>
                <w:i/>
              </w:rPr>
              <w:t>009_ASDEFCON_SPTS_V3.0_COC_ATTB_ANN</w:t>
            </w:r>
            <w:r>
              <w:rPr>
                <w:i/>
              </w:rPr>
              <w:t>E</w:t>
            </w:r>
            <w:r w:rsidRPr="00D16925">
              <w:rPr>
                <w:i/>
              </w:rPr>
              <w:t>_PerformanceAssessmentandPerformancePayments</w:t>
            </w:r>
          </w:p>
        </w:tc>
      </w:tr>
    </w:tbl>
    <w:p w14:paraId="176B2D68" w14:textId="77777777" w:rsidR="007C1BA4" w:rsidRDefault="007C1BA4" w:rsidP="00FA7EF5">
      <w:pPr>
        <w:pStyle w:val="ASDEFCONOptionSpace"/>
      </w:pPr>
    </w:p>
    <w:p w14:paraId="3A644186" w14:textId="4F0A5C79" w:rsidR="00BE0263" w:rsidRPr="008A3CFC" w:rsidRDefault="00641252">
      <w:pPr>
        <w:pStyle w:val="ATTANNLV2-ASDEFCON"/>
      </w:pPr>
      <w:bookmarkStart w:id="6" w:name="_Ref332641392"/>
      <w:r w:rsidRPr="008A3CFC">
        <w:t xml:space="preserve">The obligations of the Commonwealth under this </w:t>
      </w:r>
      <w:r>
        <w:t xml:space="preserve">Attachment B </w:t>
      </w:r>
      <w:r w:rsidRPr="008A3CFC">
        <w:t>are subject to:</w:t>
      </w:r>
      <w:bookmarkEnd w:id="6"/>
    </w:p>
    <w:p w14:paraId="33329543" w14:textId="77777777" w:rsidR="00BE0263" w:rsidRDefault="00641252">
      <w:pPr>
        <w:pStyle w:val="COTCOCLV4-ASDEFCON"/>
      </w:pPr>
      <w:bookmarkStart w:id="7" w:name="_Ref326856678"/>
      <w:r>
        <w:t xml:space="preserve">the </w:t>
      </w:r>
      <w:r w:rsidRPr="008A3CFC">
        <w:t xml:space="preserve">Contractor making a claim for payment in accordance with </w:t>
      </w:r>
      <w:r w:rsidRPr="00DB7035">
        <w:t xml:space="preserve">clause </w:t>
      </w:r>
      <w:r w:rsidRPr="001736BA">
        <w:t>7.2</w:t>
      </w:r>
      <w:r w:rsidRPr="00DB7035">
        <w:t xml:space="preserve"> of the</w:t>
      </w:r>
      <w:r w:rsidRPr="008A3CFC">
        <w:t xml:space="preserve"> </w:t>
      </w:r>
      <w:r>
        <w:t>COC; and</w:t>
      </w:r>
      <w:bookmarkEnd w:id="7"/>
    </w:p>
    <w:p w14:paraId="3694EE2D" w14:textId="5B8A773B" w:rsidR="00BE0263" w:rsidRPr="003E31D4" w:rsidRDefault="00641252" w:rsidP="00BE0263">
      <w:pPr>
        <w:pStyle w:val="COTCOCLV4-ASDEFCON"/>
      </w:pPr>
      <w:r>
        <w:t xml:space="preserve">the </w:t>
      </w:r>
      <w:r w:rsidRPr="008A3CFC">
        <w:t xml:space="preserve">other provisions of </w:t>
      </w:r>
      <w:r>
        <w:t xml:space="preserve">the </w:t>
      </w:r>
      <w:r w:rsidRPr="008A3CFC">
        <w:t>Contract</w:t>
      </w:r>
      <w:r w:rsidRPr="00C971BE">
        <w:t>.</w:t>
      </w:r>
    </w:p>
    <w:p w14:paraId="0A820F17" w14:textId="6A0CF423" w:rsidR="00BE0263" w:rsidRDefault="00641252">
      <w:pPr>
        <w:pStyle w:val="ATTANNLV2-ASDEFCON"/>
        <w:rPr>
          <w:rFonts w:cs="Arial"/>
          <w:szCs w:val="20"/>
        </w:rPr>
      </w:pPr>
      <w:r>
        <w:t xml:space="preserve">Except where expressly indicated to the contrary, the amounts set out in or calculated under this Attachment B are inclusive of all </w:t>
      </w:r>
      <w:r w:rsidRPr="00BC7040">
        <w:t>costs</w:t>
      </w:r>
      <w:r>
        <w:t xml:space="preserve"> and other payments associated with providing the </w:t>
      </w:r>
      <w:r w:rsidRPr="00BC7040">
        <w:t xml:space="preserve">Services </w:t>
      </w:r>
      <w:r w:rsidRPr="00955A57">
        <w:rPr>
          <w:rFonts w:cs="Arial"/>
          <w:szCs w:val="20"/>
        </w:rPr>
        <w:t xml:space="preserve">and </w:t>
      </w:r>
      <w:r>
        <w:rPr>
          <w:rFonts w:cs="Arial"/>
          <w:szCs w:val="20"/>
        </w:rPr>
        <w:t xml:space="preserve">carrying out all matters and </w:t>
      </w:r>
      <w:r w:rsidRPr="00955A57">
        <w:rPr>
          <w:rFonts w:cs="Arial"/>
          <w:szCs w:val="20"/>
        </w:rPr>
        <w:t xml:space="preserve">doing all things necessary for the due and proper </w:t>
      </w:r>
      <w:r w:rsidRPr="00955A57">
        <w:rPr>
          <w:rFonts w:cs="Arial"/>
          <w:szCs w:val="20"/>
        </w:rPr>
        <w:lastRenderedPageBreak/>
        <w:t>performance</w:t>
      </w:r>
      <w:r>
        <w:rPr>
          <w:rFonts w:cs="Arial"/>
          <w:szCs w:val="20"/>
        </w:rPr>
        <w:t xml:space="preserve"> and completion of the Contract.  </w:t>
      </w:r>
      <w:r w:rsidRPr="00955A57">
        <w:rPr>
          <w:rFonts w:cs="Arial"/>
          <w:szCs w:val="20"/>
        </w:rPr>
        <w:t>This includes all licence fees, royalty payments, overseas taxes, duties and charges, Australian (Federal, State and Local Government) taxes including GST, customs and other duties and charges and arranging customs clearance and services of representatives.</w:t>
      </w:r>
    </w:p>
    <w:p w14:paraId="4BE2D435" w14:textId="5FB5BD90" w:rsidR="009B500E" w:rsidRDefault="009B500E" w:rsidP="00FA7EF5">
      <w:pPr>
        <w:pStyle w:val="COTCOCLV1-ASDEFCON"/>
      </w:pPr>
      <w:bookmarkStart w:id="8" w:name="_Ref79649200"/>
      <w:bookmarkStart w:id="9" w:name="_Ref79762279"/>
      <w:bookmarkStart w:id="10" w:name="_Toc97811147"/>
      <w:bookmarkStart w:id="11" w:name="_Ref94692749"/>
      <w:bookmarkStart w:id="12" w:name="_Ref94700763"/>
      <w:r w:rsidRPr="009B500E">
        <w:t>Mobilisation Payments and Milestone Payments (OPTIONAL)</w:t>
      </w:r>
      <w:bookmarkStart w:id="13" w:name="_GoBack"/>
      <w:bookmarkEnd w:id="8"/>
      <w:bookmarkEnd w:id="9"/>
      <w:bookmarkEnd w:id="10"/>
      <w:bookmarkEnd w:id="13"/>
    </w:p>
    <w:p w14:paraId="5A363605" w14:textId="400CC9AB" w:rsidR="009B500E" w:rsidRPr="009B500E" w:rsidRDefault="009B500E" w:rsidP="00F74B00">
      <w:pPr>
        <w:pStyle w:val="NoteToTenderers-ASDEFCON"/>
      </w:pPr>
      <w:r w:rsidRPr="009B500E">
        <w:t xml:space="preserve">Note to tenderers: </w:t>
      </w:r>
      <w:r w:rsidR="003C42E9">
        <w:t xml:space="preserve"> </w:t>
      </w:r>
      <w:r w:rsidRPr="009B500E">
        <w:t>Annex A will consist of an amalgamation of the price schedules in TDR D, the successful tenderer’s response, and any negotiated adjustments.</w:t>
      </w:r>
    </w:p>
    <w:p w14:paraId="12AA6209" w14:textId="03701CC0" w:rsidR="009B500E" w:rsidRPr="009B500E" w:rsidRDefault="007F598D" w:rsidP="009B500E">
      <w:pPr>
        <w:pStyle w:val="COTCOCLV2-ASDEFCON"/>
      </w:pPr>
      <w:r>
        <w:t>Introduction</w:t>
      </w:r>
    </w:p>
    <w:p w14:paraId="7A862F41" w14:textId="4B585D0F" w:rsidR="009B500E" w:rsidRPr="009B500E" w:rsidRDefault="0097360B" w:rsidP="00F74B00">
      <w:pPr>
        <w:pStyle w:val="COTCOCLV3-ASDEFCON"/>
      </w:pPr>
      <w:r>
        <w:t xml:space="preserve">This clause </w:t>
      </w:r>
      <w:r>
        <w:fldChar w:fldCharType="begin"/>
      </w:r>
      <w:r>
        <w:instrText xml:space="preserve"> REF _Ref79649200 \w \h </w:instrText>
      </w:r>
      <w:r>
        <w:fldChar w:fldCharType="separate"/>
      </w:r>
      <w:r w:rsidR="0068250C">
        <w:t>2</w:t>
      </w:r>
      <w:r>
        <w:fldChar w:fldCharType="end"/>
      </w:r>
      <w:r>
        <w:t xml:space="preserve"> and </w:t>
      </w:r>
      <w:r w:rsidR="009B500E" w:rsidRPr="009B500E">
        <w:t xml:space="preserve">Annex A describe the amounts payable by the Commonwealth to the Contractor for the achievement of Milestones </w:t>
      </w:r>
      <w:r w:rsidR="009B500E" w:rsidRPr="00E14B12">
        <w:rPr>
          <w:b/>
        </w:rPr>
        <w:t>(</w:t>
      </w:r>
      <w:r w:rsidR="003869AE">
        <w:rPr>
          <w:b/>
        </w:rPr>
        <w:t>…</w:t>
      </w:r>
      <w:r w:rsidR="009B500E" w:rsidRPr="00E14B12">
        <w:rPr>
          <w:b/>
        </w:rPr>
        <w:t>INSERT THE FOLLOWING WHERE A MOBILISATION PAYMENT HAS BEEN AGREED, “or as a Mobilisation Payment”</w:t>
      </w:r>
      <w:r w:rsidR="003869AE">
        <w:rPr>
          <w:b/>
        </w:rPr>
        <w:t>…</w:t>
      </w:r>
      <w:r w:rsidR="009B500E" w:rsidRPr="00E14B12">
        <w:rPr>
          <w:b/>
        </w:rPr>
        <w:t>)</w:t>
      </w:r>
      <w:r w:rsidR="009B500E" w:rsidRPr="009B500E">
        <w:t xml:space="preserve"> in accordance with the Contract.</w:t>
      </w:r>
    </w:p>
    <w:p w14:paraId="5A30035A" w14:textId="05852C5C" w:rsidR="009B500E" w:rsidRPr="009B500E" w:rsidRDefault="009B500E" w:rsidP="009B500E">
      <w:pPr>
        <w:pStyle w:val="COTCOCLV2-ASDEFCON"/>
      </w:pPr>
      <w:r w:rsidRPr="009B500E">
        <w:t xml:space="preserve">Mobilisation Payment </w:t>
      </w:r>
    </w:p>
    <w:p w14:paraId="2F1B86B6" w14:textId="2C317057" w:rsidR="007F598D" w:rsidRDefault="007F598D" w:rsidP="007F598D">
      <w:pPr>
        <w:pStyle w:val="COTCOCLV3-ASDEFCON"/>
      </w:pPr>
      <w:r>
        <w:t xml:space="preserve">The amount of the Mobilisation Payment is </w:t>
      </w:r>
      <w:r w:rsidRPr="006B17E6">
        <w:rPr>
          <w:b/>
        </w:rPr>
        <w:t>(</w:t>
      </w:r>
      <w:r w:rsidR="003869AE">
        <w:rPr>
          <w:b/>
        </w:rPr>
        <w:t>…</w:t>
      </w:r>
      <w:r w:rsidRPr="006B17E6">
        <w:rPr>
          <w:b/>
        </w:rPr>
        <w:t>INSERT AMOUNT OF MOBILISATION PAYMENT</w:t>
      </w:r>
      <w:r w:rsidR="003869AE">
        <w:rPr>
          <w:b/>
        </w:rPr>
        <w:t>…</w:t>
      </w:r>
      <w:r w:rsidRPr="006B17E6">
        <w:rPr>
          <w:b/>
        </w:rPr>
        <w:t>)</w:t>
      </w:r>
      <w:r>
        <w:t>.</w:t>
      </w:r>
    </w:p>
    <w:p w14:paraId="24591338" w14:textId="3FC48083" w:rsidR="007F598D" w:rsidRDefault="007F598D" w:rsidP="00F74B00">
      <w:pPr>
        <w:pStyle w:val="COTCOCLV3-ASDEFCON"/>
      </w:pPr>
      <w:r>
        <w:t xml:space="preserve">The Commonwealth shall pay to the Contractor the Mobilisation Payment upon </w:t>
      </w:r>
      <w:r w:rsidRPr="006B17E6">
        <w:rPr>
          <w:b/>
        </w:rPr>
        <w:t>(</w:t>
      </w:r>
      <w:r w:rsidR="003869AE">
        <w:rPr>
          <w:b/>
        </w:rPr>
        <w:t>…</w:t>
      </w:r>
      <w:r w:rsidRPr="006B17E6">
        <w:rPr>
          <w:b/>
        </w:rPr>
        <w:t>INSERT CRITERIA FOR MOBILISATION PAYMENT</w:t>
      </w:r>
      <w:r w:rsidR="003869AE">
        <w:rPr>
          <w:b/>
        </w:rPr>
        <w:t>…</w:t>
      </w:r>
      <w:r w:rsidRPr="006B17E6">
        <w:rPr>
          <w:b/>
        </w:rPr>
        <w:t>)</w:t>
      </w:r>
      <w:r>
        <w:t>.</w:t>
      </w:r>
    </w:p>
    <w:p w14:paraId="3D3F60C9" w14:textId="61036E42" w:rsidR="007F598D" w:rsidRDefault="00F74B00" w:rsidP="007F598D">
      <w:pPr>
        <w:pStyle w:val="COTCOCLV2-ASDEFCON"/>
      </w:pPr>
      <w:r w:rsidRPr="007F598D">
        <w:t>Milestones</w:t>
      </w:r>
      <w:r w:rsidR="00786637">
        <w:t xml:space="preserve"> </w:t>
      </w:r>
    </w:p>
    <w:p w14:paraId="7DAD3C5D" w14:textId="3DAA65C8" w:rsidR="007F598D" w:rsidRPr="007F598D" w:rsidRDefault="007F598D" w:rsidP="00CF3922">
      <w:pPr>
        <w:pStyle w:val="NoteToDrafters-ASDEFCON"/>
      </w:pPr>
      <w:r w:rsidRPr="007F598D">
        <w:t xml:space="preserve">Note to drafters:  </w:t>
      </w:r>
      <w:r w:rsidR="00786637">
        <w:t xml:space="preserve">If the </w:t>
      </w:r>
      <w:r w:rsidR="006B17E6">
        <w:t xml:space="preserve">proposed Contract will not include Milestone Payments, the following clauses and note to tenderers can be deleted and the heading annotated as ‘not used’.  </w:t>
      </w:r>
      <w:r w:rsidRPr="007F598D">
        <w:t>Prior to RFT release</w:t>
      </w:r>
      <w:r w:rsidR="006B17E6">
        <w:t>,</w:t>
      </w:r>
      <w:r w:rsidRPr="007F598D">
        <w:t xml:space="preserve"> drafters </w:t>
      </w:r>
      <w:r w:rsidR="006B17E6">
        <w:t>should</w:t>
      </w:r>
      <w:r w:rsidRPr="007F598D">
        <w:t xml:space="preserve"> populate the ‘Milestone Schedule’ worksheet of the </w:t>
      </w:r>
      <w:r w:rsidR="00F74B00">
        <w:t>CS</w:t>
      </w:r>
      <w:r w:rsidR="00C451BB">
        <w:t>ER</w:t>
      </w:r>
      <w:r w:rsidRPr="007F598D">
        <w:t xml:space="preserve">PW with </w:t>
      </w:r>
      <w:r w:rsidR="006B17E6">
        <w:t>descriptions appropriate for any Commonwealth-defined</w:t>
      </w:r>
      <w:r w:rsidRPr="007F598D">
        <w:t xml:space="preserve"> Milestones.  Refer to TDR D-2 for details.</w:t>
      </w:r>
    </w:p>
    <w:p w14:paraId="34A6F2BE" w14:textId="406B638B" w:rsidR="007F598D" w:rsidRDefault="007F598D" w:rsidP="007F598D">
      <w:pPr>
        <w:pStyle w:val="NoteToTenderers-ASDEFCON"/>
      </w:pPr>
      <w:r w:rsidRPr="0066273A">
        <w:t xml:space="preserve">Note to tenderers:  </w:t>
      </w:r>
      <w:r>
        <w:t xml:space="preserve">Annex A </w:t>
      </w:r>
      <w:r w:rsidRPr="0066273A">
        <w:t xml:space="preserve">will consist of an amalgamation of the </w:t>
      </w:r>
      <w:r w:rsidR="00F74B00">
        <w:t>CS</w:t>
      </w:r>
      <w:r w:rsidR="00C451BB">
        <w:t>ER</w:t>
      </w:r>
      <w:r>
        <w:t xml:space="preserve">PW ‘Milestone Schedule’ worksheet for </w:t>
      </w:r>
      <w:r w:rsidRPr="0066273A">
        <w:t>the successful tenderer’s response</w:t>
      </w:r>
      <w:r w:rsidRPr="00E4765A">
        <w:t xml:space="preserve"> </w:t>
      </w:r>
      <w:r>
        <w:t xml:space="preserve">to </w:t>
      </w:r>
      <w:r w:rsidRPr="0066273A">
        <w:t xml:space="preserve">TDR </w:t>
      </w:r>
      <w:r>
        <w:t>D-</w:t>
      </w:r>
      <w:r w:rsidR="00F74B00">
        <w:t>2</w:t>
      </w:r>
      <w:r w:rsidRPr="0066273A">
        <w:t>, and any negotiated adjustments.</w:t>
      </w:r>
    </w:p>
    <w:p w14:paraId="66A90C49" w14:textId="77777777" w:rsidR="007F598D" w:rsidRDefault="007F598D" w:rsidP="007F598D">
      <w:pPr>
        <w:pStyle w:val="COTCOCLV3-ASDEFCON"/>
      </w:pPr>
      <w:r>
        <w:t xml:space="preserve">The Milestone Payment Schedule is detailed in the file: </w:t>
      </w:r>
      <w:r w:rsidRPr="006B17E6">
        <w:rPr>
          <w:b/>
        </w:rPr>
        <w:t>(…INSERT the file name for the "Milestone Schedule" from the workbook…)</w:t>
      </w:r>
      <w:r>
        <w:t>, and forms Annex A to this Attachment.</w:t>
      </w:r>
    </w:p>
    <w:p w14:paraId="7E493557" w14:textId="72D68F9A" w:rsidR="007F598D" w:rsidRDefault="00CE2C8B" w:rsidP="007F598D">
      <w:pPr>
        <w:pStyle w:val="COTCOCLV3-ASDEFCON"/>
      </w:pPr>
      <w:r>
        <w:t>Annex B</w:t>
      </w:r>
      <w:r w:rsidR="007F598D">
        <w:t xml:space="preserve"> sets out the Milestone details for the Contract, including the entry and exit criteria and the Milestone Dates.  Annex A details the Milestone Payments for the Contract</w:t>
      </w:r>
      <w:r w:rsidR="003A1DFF">
        <w:t>,</w:t>
      </w:r>
      <w:r w:rsidR="007F598D">
        <w:t xml:space="preserve"> noting that some Milestones may not have a Milestone Payment (ie, ‘nil payment Milestones’).</w:t>
      </w:r>
    </w:p>
    <w:p w14:paraId="59904F3A" w14:textId="77777777" w:rsidR="007F598D" w:rsidRDefault="007F598D" w:rsidP="007F598D">
      <w:pPr>
        <w:pStyle w:val="COTCOCLV3-ASDEFCON"/>
      </w:pPr>
      <w:r>
        <w:t>The Commonwealth shall, for achievement of a Milestone, pay to the Contractor the relevant Milestone Payment as specified in the Milestone Schedule.</w:t>
      </w:r>
    </w:p>
    <w:p w14:paraId="424FB9B3" w14:textId="38880D23" w:rsidR="007F598D" w:rsidRPr="007F598D" w:rsidRDefault="007F598D" w:rsidP="00CF3922">
      <w:pPr>
        <w:pStyle w:val="COTCOCLV3-ASDEFCON"/>
      </w:pPr>
      <w:r>
        <w:t xml:space="preserve">The Contractor is taken to have achieved a Milestone only if all of the corresponding criteria for the Milestone, as set out in </w:t>
      </w:r>
      <w:r w:rsidR="00CE2C8B">
        <w:t>Annex B</w:t>
      </w:r>
      <w:r>
        <w:t>, have been satisfied.</w:t>
      </w:r>
    </w:p>
    <w:p w14:paraId="402D7C5B" w14:textId="0312E40A" w:rsidR="002B681E" w:rsidRDefault="002B681E" w:rsidP="00FA7EF5">
      <w:pPr>
        <w:pStyle w:val="COTCOCLV1-ASDEFCON"/>
      </w:pPr>
      <w:bookmarkStart w:id="14" w:name="_Ref138582399"/>
      <w:r>
        <w:t>Recurring Services (CORE)</w:t>
      </w:r>
      <w:bookmarkEnd w:id="11"/>
      <w:bookmarkEnd w:id="12"/>
      <w:bookmarkEnd w:id="14"/>
    </w:p>
    <w:p w14:paraId="33C9C920" w14:textId="39AD3A56" w:rsidR="00D16925" w:rsidRPr="00E375A2" w:rsidRDefault="00D16925" w:rsidP="00FA7EF5">
      <w:pPr>
        <w:pStyle w:val="COTCOCLV2-ASDEFCON"/>
      </w:pPr>
      <w:r>
        <w:t>Introduction</w:t>
      </w:r>
    </w:p>
    <w:p w14:paraId="4C979A6D" w14:textId="515AE4A3" w:rsidR="002B681E" w:rsidRDefault="0097360B" w:rsidP="00FA7EF5">
      <w:pPr>
        <w:pStyle w:val="COTCOCLV3-ASDEFCON"/>
      </w:pPr>
      <w:r>
        <w:t xml:space="preserve">This clause </w:t>
      </w:r>
      <w:r>
        <w:fldChar w:fldCharType="begin"/>
      </w:r>
      <w:r>
        <w:instrText xml:space="preserve"> REF _Ref138582399 \w \h </w:instrText>
      </w:r>
      <w:r>
        <w:fldChar w:fldCharType="separate"/>
      </w:r>
      <w:r w:rsidR="0068250C">
        <w:t>3</w:t>
      </w:r>
      <w:r>
        <w:fldChar w:fldCharType="end"/>
      </w:r>
      <w:r>
        <w:t xml:space="preserve"> and </w:t>
      </w:r>
      <w:r w:rsidR="002B681E">
        <w:t xml:space="preserve">Annex </w:t>
      </w:r>
      <w:r w:rsidR="00CE2C8B">
        <w:t>C</w:t>
      </w:r>
      <w:r w:rsidR="007F598D">
        <w:t>,</w:t>
      </w:r>
      <w:r w:rsidR="007F598D" w:rsidRPr="00DA38C1">
        <w:t xml:space="preserve"> </w:t>
      </w:r>
      <w:r w:rsidR="007F598D">
        <w:t xml:space="preserve">including the schedules to Annex </w:t>
      </w:r>
      <w:r w:rsidR="00CE2C8B">
        <w:t>C</w:t>
      </w:r>
      <w:r w:rsidR="007F598D">
        <w:t>,</w:t>
      </w:r>
      <w:r w:rsidR="002B681E">
        <w:t xml:space="preserve"> </w:t>
      </w:r>
      <w:r w:rsidR="002B681E" w:rsidRPr="008A3CFC">
        <w:t xml:space="preserve">describe the </w:t>
      </w:r>
      <w:r w:rsidR="002B681E">
        <w:t xml:space="preserve">amounts </w:t>
      </w:r>
      <w:r w:rsidR="002B681E" w:rsidRPr="008A3CFC">
        <w:t xml:space="preserve">payable </w:t>
      </w:r>
      <w:r w:rsidR="002B681E" w:rsidRPr="003D2ED0">
        <w:rPr>
          <w:rFonts w:cs="Arial"/>
          <w:szCs w:val="20"/>
        </w:rPr>
        <w:t xml:space="preserve">by the Commonwealth </w:t>
      </w:r>
      <w:r w:rsidR="002B681E" w:rsidRPr="008A3CFC">
        <w:t xml:space="preserve">to the Contractor </w:t>
      </w:r>
      <w:r w:rsidR="002B681E">
        <w:t xml:space="preserve">for </w:t>
      </w:r>
      <w:r w:rsidR="002B681E" w:rsidRPr="008A3CFC">
        <w:t xml:space="preserve">the provision of </w:t>
      </w:r>
      <w:r w:rsidR="002B681E">
        <w:t xml:space="preserve">Recurring </w:t>
      </w:r>
      <w:r w:rsidR="002B681E" w:rsidRPr="008A3CFC">
        <w:t xml:space="preserve">Services </w:t>
      </w:r>
      <w:r w:rsidR="002B681E">
        <w:t xml:space="preserve">in accordance with the </w:t>
      </w:r>
      <w:r w:rsidR="002B681E" w:rsidRPr="008A3CFC">
        <w:t>Contract.</w:t>
      </w:r>
      <w:r w:rsidR="002B681E">
        <w:t xml:space="preserve">  The Recurring Services commence from the </w:t>
      </w:r>
      <w:r w:rsidR="002B681E" w:rsidRPr="002200D9">
        <w:rPr>
          <w:highlight w:val="darkGray"/>
        </w:rPr>
        <w:t>[…INSERT “Effective Date” or “Operative Date”…]</w:t>
      </w:r>
      <w:r w:rsidR="002B681E" w:rsidRPr="001562DF">
        <w:t>.</w:t>
      </w:r>
    </w:p>
    <w:p w14:paraId="66FA0C0B" w14:textId="44CAED69" w:rsidR="00D16925" w:rsidRDefault="00D16925" w:rsidP="00FA7EF5">
      <w:pPr>
        <w:pStyle w:val="COTCOCLV2-ASDEFCON"/>
      </w:pPr>
      <w:r>
        <w:t>Recurring Services Fee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B681E" w14:paraId="360FCC60" w14:textId="77777777" w:rsidTr="002B681E">
        <w:tc>
          <w:tcPr>
            <w:tcW w:w="9071" w:type="dxa"/>
            <w:shd w:val="clear" w:color="auto" w:fill="auto"/>
          </w:tcPr>
          <w:p w14:paraId="17203F04" w14:textId="10C12CF6" w:rsidR="002B681E" w:rsidRDefault="002B681E" w:rsidP="002B681E">
            <w:pPr>
              <w:pStyle w:val="ASDEFCONOption"/>
            </w:pPr>
            <w:r w:rsidRPr="00272261">
              <w:t>Option</w:t>
            </w:r>
            <w:r>
              <w:t xml:space="preserve"> A</w:t>
            </w:r>
            <w:r w:rsidRPr="00272261">
              <w:t>:</w:t>
            </w:r>
            <w:r>
              <w:t xml:space="preserve"> </w:t>
            </w:r>
            <w:r w:rsidRPr="00272261">
              <w:t xml:space="preserve"> For when </w:t>
            </w:r>
            <w:r>
              <w:t xml:space="preserve">Annex </w:t>
            </w:r>
            <w:r w:rsidR="00483602">
              <w:t>G</w:t>
            </w:r>
            <w:r>
              <w:t>, Performance Assessment and Performance Payments, is included into the Contract</w:t>
            </w:r>
            <w:r w:rsidRPr="00272261">
              <w:t>.</w:t>
            </w:r>
          </w:p>
          <w:p w14:paraId="564527AC" w14:textId="7AF105E7" w:rsidR="002B681E" w:rsidRDefault="002B681E" w:rsidP="00483602">
            <w:pPr>
              <w:pStyle w:val="COTCOCLV3-ASDEFCON"/>
            </w:pPr>
            <w:r>
              <w:t>Subject to clause</w:t>
            </w:r>
            <w:r w:rsidR="00734D22">
              <w:t>s</w:t>
            </w:r>
            <w:r>
              <w:t xml:space="preserve"> 5 and 6 of Annex </w:t>
            </w:r>
            <w:r w:rsidR="00483602">
              <w:t>G</w:t>
            </w:r>
            <w:r>
              <w:t xml:space="preserve"> to this Attachment B, t</w:t>
            </w:r>
            <w:r w:rsidRPr="0093080C">
              <w:t>he Commonwealth shall pay to the Contractor</w:t>
            </w:r>
            <w:r>
              <w:t>,</w:t>
            </w:r>
            <w:r w:rsidRPr="0093080C">
              <w:t xml:space="preserve"> </w:t>
            </w:r>
            <w:r>
              <w:t xml:space="preserve">for the provision of the Recurring Services, </w:t>
            </w:r>
            <w:r w:rsidRPr="0093080C">
              <w:t xml:space="preserve">the </w:t>
            </w:r>
            <w:r>
              <w:t>Recurring</w:t>
            </w:r>
            <w:r w:rsidRPr="0093080C">
              <w:t xml:space="preserve"> Service</w:t>
            </w:r>
            <w:r>
              <w:t>s Fee, monthly in arrears.</w:t>
            </w:r>
          </w:p>
        </w:tc>
      </w:tr>
    </w:tbl>
    <w:p w14:paraId="2B920039" w14:textId="77777777" w:rsidR="00E375A2" w:rsidRDefault="00E375A2" w:rsidP="00FA7EF5">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E375A2" w14:paraId="186EC9D8" w14:textId="77777777" w:rsidTr="00E375A2">
        <w:tc>
          <w:tcPr>
            <w:tcW w:w="9070" w:type="dxa"/>
            <w:shd w:val="clear" w:color="auto" w:fill="auto"/>
          </w:tcPr>
          <w:p w14:paraId="6D4220AF" w14:textId="30F3E5C4" w:rsidR="00E375A2" w:rsidRDefault="00E375A2" w:rsidP="00E375A2">
            <w:pPr>
              <w:pStyle w:val="ASDEFCONOption"/>
            </w:pPr>
            <w:r>
              <w:t>Option B</w:t>
            </w:r>
            <w:r w:rsidRPr="00272261">
              <w:t>:</w:t>
            </w:r>
            <w:r>
              <w:t xml:space="preserve"> </w:t>
            </w:r>
            <w:r w:rsidRPr="00272261">
              <w:t xml:space="preserve"> For when </w:t>
            </w:r>
            <w:r>
              <w:t xml:space="preserve">Annex </w:t>
            </w:r>
            <w:r w:rsidR="00483602">
              <w:t>G</w:t>
            </w:r>
            <w:r>
              <w:t>, Performance Assessment and Performance Payments, is not included into the Contract</w:t>
            </w:r>
            <w:r w:rsidRPr="00272261">
              <w:t>.</w:t>
            </w:r>
          </w:p>
          <w:p w14:paraId="4F129F1C" w14:textId="7E0BB450" w:rsidR="00E375A2" w:rsidRDefault="00E375A2" w:rsidP="002B681E">
            <w:pPr>
              <w:pStyle w:val="COTCOCLV3-ASDEFCON"/>
            </w:pPr>
            <w:r w:rsidRPr="00E375A2">
              <w:t>The Commonwealth shall pay to the Contractor, for the provision of the Recurring Services, the Recurring Services Fee, monthly in arrears</w:t>
            </w:r>
            <w:r w:rsidR="00694CA5">
              <w:t>.</w:t>
            </w:r>
          </w:p>
        </w:tc>
      </w:tr>
    </w:tbl>
    <w:p w14:paraId="31F39410" w14:textId="44944B52" w:rsidR="00C22ECC" w:rsidRPr="00E375A2" w:rsidRDefault="00C22ECC" w:rsidP="00FA7EF5">
      <w:pPr>
        <w:pStyle w:val="ASDEFCONOptionSpace"/>
      </w:pPr>
    </w:p>
    <w:p w14:paraId="756D6364" w14:textId="17C24B06" w:rsidR="00C22ECC" w:rsidRDefault="00C22ECC" w:rsidP="00FA7EF5">
      <w:pPr>
        <w:pStyle w:val="COTCOCLV1-ASDEFCON"/>
      </w:pPr>
      <w:bookmarkStart w:id="15" w:name="_Ref94692858"/>
      <w:r>
        <w:t>Task-Priced Services (</w:t>
      </w:r>
      <w:r w:rsidR="00F71B86">
        <w:rPr>
          <w:caps w:val="0"/>
        </w:rPr>
        <w:t>OPTIONAL</w:t>
      </w:r>
      <w:r>
        <w:t>)</w:t>
      </w:r>
      <w:bookmarkEnd w:id="15"/>
    </w:p>
    <w:p w14:paraId="5CE5BFA3" w14:textId="44209360" w:rsidR="00D61746" w:rsidRDefault="00D61746" w:rsidP="00D61746">
      <w:pPr>
        <w:pStyle w:val="NoteToDrafters-ASDEFCON"/>
      </w:pPr>
      <w:r>
        <w:t xml:space="preserve">Note to drafters:  If the proposed Contract will not include Task-Priced Services, the following clauses can be deleted and the heading annotated as ‘not used’.  Even if the </w:t>
      </w:r>
      <w:r w:rsidR="0036392D">
        <w:t xml:space="preserve">Commonwealth </w:t>
      </w:r>
      <w:r>
        <w:t xml:space="preserve">does not specify </w:t>
      </w:r>
      <w:r w:rsidR="0036392D">
        <w:t xml:space="preserve">any </w:t>
      </w:r>
      <w:r>
        <w:t>Task-Priced Services</w:t>
      </w:r>
      <w:r w:rsidR="0036392D">
        <w:t>, the clauses and annex may be retained in the tender and draft Contract, should tenderers propose any, or if they become relevant under the Contract</w:t>
      </w:r>
      <w:r w:rsidR="00F71B86">
        <w:t xml:space="preserve"> (eg, to replace an S&amp;Q Service</w:t>
      </w:r>
      <w:r w:rsidR="0036392D">
        <w:t xml:space="preserve"> that is performed repeatedly).</w:t>
      </w:r>
    </w:p>
    <w:p w14:paraId="56AB3B2D" w14:textId="1CCF6F18" w:rsidR="00E375A2" w:rsidRPr="00FD61D9" w:rsidRDefault="00E375A2" w:rsidP="00FA7EF5">
      <w:pPr>
        <w:pStyle w:val="COTCOCLV2-ASDEFCON"/>
      </w:pPr>
      <w:r>
        <w:t>Introduction</w:t>
      </w:r>
    </w:p>
    <w:p w14:paraId="7054C98D" w14:textId="15424BDE" w:rsidR="00C22ECC" w:rsidRDefault="0097360B" w:rsidP="00FA7EF5">
      <w:pPr>
        <w:pStyle w:val="COTCOCLV3-ASDEFCON"/>
      </w:pPr>
      <w:r>
        <w:t xml:space="preserve">This clause </w:t>
      </w:r>
      <w:r>
        <w:fldChar w:fldCharType="begin"/>
      </w:r>
      <w:r>
        <w:instrText xml:space="preserve"> REF _Ref94692858 \w \h </w:instrText>
      </w:r>
      <w:r>
        <w:fldChar w:fldCharType="separate"/>
      </w:r>
      <w:r w:rsidR="0068250C">
        <w:t>4</w:t>
      </w:r>
      <w:r>
        <w:fldChar w:fldCharType="end"/>
      </w:r>
      <w:r>
        <w:t xml:space="preserve"> and </w:t>
      </w:r>
      <w:r w:rsidR="00C22ECC" w:rsidRPr="00EC45C5">
        <w:t xml:space="preserve">Annex </w:t>
      </w:r>
      <w:r w:rsidR="00CE2C8B">
        <w:t>D</w:t>
      </w:r>
      <w:r w:rsidR="00C22ECC">
        <w:t xml:space="preserve"> </w:t>
      </w:r>
      <w:r w:rsidR="00C22ECC" w:rsidRPr="00EC45C5">
        <w:t>describe</w:t>
      </w:r>
      <w:r w:rsidR="00C22ECC" w:rsidRPr="008A3CFC">
        <w:t xml:space="preserve"> the </w:t>
      </w:r>
      <w:r w:rsidR="00C22ECC">
        <w:t xml:space="preserve">amounts </w:t>
      </w:r>
      <w:r w:rsidR="00C22ECC" w:rsidRPr="008A3CFC">
        <w:t xml:space="preserve">payable </w:t>
      </w:r>
      <w:r w:rsidR="00C22ECC">
        <w:t xml:space="preserve">by the Commonwealth </w:t>
      </w:r>
      <w:r w:rsidR="00C22ECC" w:rsidRPr="008A3CFC">
        <w:t xml:space="preserve">to the Contractor </w:t>
      </w:r>
      <w:r w:rsidR="00C22ECC">
        <w:t xml:space="preserve">for </w:t>
      </w:r>
      <w:r w:rsidR="00C22ECC" w:rsidRPr="008A3CFC">
        <w:t xml:space="preserve">the provision of </w:t>
      </w:r>
      <w:r w:rsidR="00C22ECC">
        <w:t xml:space="preserve">Task-Priced </w:t>
      </w:r>
      <w:r w:rsidR="00C22ECC" w:rsidRPr="008A3CFC">
        <w:t xml:space="preserve">Services </w:t>
      </w:r>
      <w:r w:rsidR="00C22ECC">
        <w:t xml:space="preserve">in accordance with the </w:t>
      </w:r>
      <w:r w:rsidR="00C22ECC" w:rsidRPr="008A3CFC">
        <w:t>Contract.</w:t>
      </w:r>
    </w:p>
    <w:p w14:paraId="4BFE9D59" w14:textId="0129B892" w:rsidR="00734D22" w:rsidRDefault="00734D22" w:rsidP="00FA7EF5">
      <w:pPr>
        <w:pStyle w:val="COTCOCLV2-ASDEFCON"/>
      </w:pPr>
      <w:r>
        <w:t>Task-Priced Services</w:t>
      </w:r>
    </w:p>
    <w:p w14:paraId="7AE1D996" w14:textId="2BC81DF6" w:rsidR="00C22ECC" w:rsidRDefault="00C22ECC" w:rsidP="00FA7EF5">
      <w:pPr>
        <w:pStyle w:val="COTCOCLV3-ASDEFCON"/>
      </w:pPr>
      <w:r>
        <w:t xml:space="preserve">For each Task-Priced Service the Commonwealth shall pay to the Contractor </w:t>
      </w:r>
      <w:r w:rsidRPr="0093080C">
        <w:t xml:space="preserve">the price for </w:t>
      </w:r>
      <w:r>
        <w:t xml:space="preserve">the </w:t>
      </w:r>
      <w:r w:rsidRPr="0093080C">
        <w:t>Task</w:t>
      </w:r>
      <w:r>
        <w:t>-</w:t>
      </w:r>
      <w:r w:rsidRPr="0093080C">
        <w:t>Priced Service</w:t>
      </w:r>
      <w:r>
        <w:t>, a</w:t>
      </w:r>
      <w:r w:rsidRPr="0093080C">
        <w:t xml:space="preserve">s </w:t>
      </w:r>
      <w:r>
        <w:t>specified in</w:t>
      </w:r>
      <w:r w:rsidRPr="0093080C">
        <w:t xml:space="preserve"> </w:t>
      </w:r>
      <w:r>
        <w:t xml:space="preserve">Annex </w:t>
      </w:r>
      <w:r w:rsidR="00CE2C8B">
        <w:t>D</w:t>
      </w:r>
      <w:r>
        <w:t xml:space="preserve">, applicable to the month in which the </w:t>
      </w:r>
      <w:r w:rsidRPr="0093080C">
        <w:t>Task</w:t>
      </w:r>
      <w:r>
        <w:t>-</w:t>
      </w:r>
      <w:r w:rsidRPr="0093080C">
        <w:t>Priced Service</w:t>
      </w:r>
      <w:r>
        <w:t xml:space="preserve"> was Accepted in arrears </w:t>
      </w:r>
      <w:r w:rsidRPr="0093080C">
        <w:t>at the end of that month or in such other manner as may be agreed in writing by the parties in respect of that</w:t>
      </w:r>
      <w:r>
        <w:t xml:space="preserve"> Task-Priced Service.</w:t>
      </w:r>
    </w:p>
    <w:p w14:paraId="735075EB" w14:textId="44E03546" w:rsidR="00C22ECC" w:rsidRDefault="00C22ECC" w:rsidP="00FA7EF5">
      <w:pPr>
        <w:pStyle w:val="COTCOCLV1-ASDEFCON"/>
      </w:pPr>
      <w:bookmarkStart w:id="16" w:name="_Ref94692896"/>
      <w:r>
        <w:t>S&amp;Q Services (CORE)</w:t>
      </w:r>
      <w:bookmarkEnd w:id="16"/>
    </w:p>
    <w:p w14:paraId="300B5367" w14:textId="0B613D54" w:rsidR="00E375A2" w:rsidRDefault="00E375A2" w:rsidP="00FA7EF5">
      <w:pPr>
        <w:pStyle w:val="COTCOCLV2-ASDEFCON"/>
      </w:pPr>
      <w:r>
        <w:t xml:space="preserve">S&amp;Q </w:t>
      </w:r>
      <w:r w:rsidR="00E17DB3">
        <w:t>Rates</w:t>
      </w:r>
    </w:p>
    <w:p w14:paraId="209C2AC2" w14:textId="77777777" w:rsidR="006910AC" w:rsidRDefault="006910AC" w:rsidP="006910AC">
      <w:pPr>
        <w:pStyle w:val="COTCOCLV3-ASDEFCON"/>
      </w:pPr>
      <w:r>
        <w:t>The pricing information to be included in each S&amp;Q Quote</w:t>
      </w:r>
      <w:r w:rsidRPr="008A3CFC">
        <w:t xml:space="preserve"> </w:t>
      </w:r>
      <w:r>
        <w:t>shall be determined using the:</w:t>
      </w:r>
    </w:p>
    <w:p w14:paraId="0E9D74BE" w14:textId="3A23ED5B" w:rsidR="006910AC" w:rsidRDefault="00AC3689" w:rsidP="006910AC">
      <w:pPr>
        <w:pStyle w:val="COTCOCLV4-ASDEFCON"/>
      </w:pPr>
      <w:r w:rsidRPr="00EB0ED9">
        <w:t xml:space="preserve">labour categories </w:t>
      </w:r>
      <w:r w:rsidR="006910AC">
        <w:t>and</w:t>
      </w:r>
      <w:r w:rsidRPr="00EB0ED9">
        <w:t xml:space="preserve"> skill levels</w:t>
      </w:r>
      <w:r>
        <w:t xml:space="preserve"> </w:t>
      </w:r>
      <w:r w:rsidR="006910AC">
        <w:t>for</w:t>
      </w:r>
      <w:r w:rsidR="006910AC" w:rsidRPr="00EB0ED9">
        <w:t xml:space="preserve"> </w:t>
      </w:r>
      <w:r>
        <w:t>labour rates</w:t>
      </w:r>
      <w:r w:rsidR="006910AC">
        <w:t>; and</w:t>
      </w:r>
    </w:p>
    <w:p w14:paraId="1FCA888A" w14:textId="7B820CBC" w:rsidR="006910AC" w:rsidRDefault="006910AC" w:rsidP="006910AC">
      <w:pPr>
        <w:pStyle w:val="COTCOCLV4-ASDEFCON"/>
      </w:pPr>
      <w:r>
        <w:t>unless lower mark-ups are negotiated</w:t>
      </w:r>
      <w:r w:rsidRPr="00BF40D5">
        <w:t xml:space="preserve"> </w:t>
      </w:r>
      <w:r>
        <w:t xml:space="preserve">(ie, </w:t>
      </w:r>
      <w:r w:rsidRPr="00BF40D5">
        <w:t xml:space="preserve">for </w:t>
      </w:r>
      <w:r>
        <w:t>Subcontracts and/or</w:t>
      </w:r>
      <w:r w:rsidRPr="00BF40D5">
        <w:t xml:space="preserve"> materials</w:t>
      </w:r>
      <w:r>
        <w:t xml:space="preserve"> exceeding </w:t>
      </w:r>
      <w:r w:rsidR="003869AE">
        <w:rPr>
          <w:b/>
        </w:rPr>
        <w:fldChar w:fldCharType="begin">
          <w:ffData>
            <w:name w:val="Text21"/>
            <w:enabled/>
            <w:calcOnExit w:val="0"/>
            <w:textInput>
              <w:default w:val="[…INSERT AMOUNT…]"/>
            </w:textInput>
          </w:ffData>
        </w:fldChar>
      </w:r>
      <w:bookmarkStart w:id="17" w:name="Text21"/>
      <w:r w:rsidR="003869AE">
        <w:rPr>
          <w:b/>
        </w:rPr>
        <w:instrText xml:space="preserve"> FORMTEXT </w:instrText>
      </w:r>
      <w:r w:rsidR="003869AE">
        <w:rPr>
          <w:b/>
        </w:rPr>
      </w:r>
      <w:r w:rsidR="003869AE">
        <w:rPr>
          <w:b/>
        </w:rPr>
        <w:fldChar w:fldCharType="separate"/>
      </w:r>
      <w:r w:rsidR="003869AE">
        <w:rPr>
          <w:b/>
          <w:noProof/>
        </w:rPr>
        <w:t>[…INSERT AMOUNT…]</w:t>
      </w:r>
      <w:r w:rsidR="003869AE">
        <w:rPr>
          <w:b/>
        </w:rPr>
        <w:fldChar w:fldCharType="end"/>
      </w:r>
      <w:bookmarkEnd w:id="17"/>
      <w:r>
        <w:rPr>
          <w:b/>
        </w:rPr>
        <w:t>)</w:t>
      </w:r>
      <w:r>
        <w:t>, the mark-ups on purchased materials, Subcontract prices, and O</w:t>
      </w:r>
      <w:r w:rsidRPr="00302D08">
        <w:t xml:space="preserve">ther </w:t>
      </w:r>
      <w:r>
        <w:t>Direct</w:t>
      </w:r>
      <w:r w:rsidRPr="00302D08">
        <w:t xml:space="preserve"> Costs</w:t>
      </w:r>
      <w:r>
        <w:t>,</w:t>
      </w:r>
    </w:p>
    <w:p w14:paraId="684C2FC7" w14:textId="5F73F180" w:rsidR="00051158" w:rsidRDefault="00051158" w:rsidP="00051158">
      <w:pPr>
        <w:pStyle w:val="COTCOCLV3NONUM-ASDEFCON"/>
      </w:pPr>
      <w:r>
        <w:t xml:space="preserve">as detailed in the file: </w:t>
      </w:r>
      <w:r>
        <w:fldChar w:fldCharType="begin">
          <w:ffData>
            <w:name w:val=""/>
            <w:enabled/>
            <w:calcOnExit w:val="0"/>
            <w:textInput>
              <w:default w:val="(…INSERT the file name for the &quot;S&amp;Q Services worksheet&quot; from the SPTPW…)"/>
            </w:textInput>
          </w:ffData>
        </w:fldChar>
      </w:r>
      <w:r>
        <w:instrText xml:space="preserve"> FORMTEXT </w:instrText>
      </w:r>
      <w:r>
        <w:fldChar w:fldCharType="separate"/>
      </w:r>
      <w:r>
        <w:rPr>
          <w:noProof/>
        </w:rPr>
        <w:t>(…INSERT the file name for the "S&amp;Q Services worksheet" from the SPTPW…)</w:t>
      </w:r>
      <w:r>
        <w:fldChar w:fldCharType="end"/>
      </w:r>
      <w:r>
        <w:t>, which forms</w:t>
      </w:r>
      <w:r w:rsidRPr="00F92B0E">
        <w:t xml:space="preserve"> </w:t>
      </w:r>
      <w:r>
        <w:t>Annex E to this Attachment.</w:t>
      </w:r>
    </w:p>
    <w:p w14:paraId="111F6DD9" w14:textId="77777777" w:rsidR="00051158" w:rsidRDefault="00051158" w:rsidP="00051158">
      <w:pPr>
        <w:pStyle w:val="COTCOCLV3-ASDEFCON"/>
      </w:pPr>
      <w:r>
        <w:t>For the purposes of defining “normal time” and “other time” labour rates:</w:t>
      </w:r>
    </w:p>
    <w:p w14:paraId="7DC5E323" w14:textId="77777777" w:rsidR="00051158" w:rsidRDefault="00051158" w:rsidP="00051158">
      <w:pPr>
        <w:pStyle w:val="COTCOCLV4-ASDEFCON"/>
      </w:pPr>
      <w:r>
        <w:t xml:space="preserve">“normal time” is defined as </w:t>
      </w:r>
      <w:r>
        <w:fldChar w:fldCharType="begin">
          <w:ffData>
            <w:name w:val="Text29"/>
            <w:enabled/>
            <w:calcOnExit w:val="0"/>
            <w:textInput>
              <w:default w:val="(…INSERT definition of “normal time” EG, “eight hours per day between 07:00 – 19:00”…)"/>
            </w:textInput>
          </w:ffData>
        </w:fldChar>
      </w:r>
      <w:r>
        <w:instrText xml:space="preserve"> FORMTEXT </w:instrText>
      </w:r>
      <w:r>
        <w:fldChar w:fldCharType="separate"/>
      </w:r>
      <w:r>
        <w:rPr>
          <w:noProof/>
        </w:rPr>
        <w:t>(…INSERT definition of “normal time” EG, “eight hours per day between 07:00 – 19:00”…)</w:t>
      </w:r>
      <w:r>
        <w:fldChar w:fldCharType="end"/>
      </w:r>
      <w:r>
        <w:t>; and</w:t>
      </w:r>
    </w:p>
    <w:p w14:paraId="3381278A" w14:textId="769B1021" w:rsidR="00AC3689" w:rsidRDefault="00051158" w:rsidP="005849D5">
      <w:pPr>
        <w:pStyle w:val="COTCOCLV4-ASDEFCON"/>
      </w:pPr>
      <w:r>
        <w:t>“other time” includes all times other times than “normal time”.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226BAD" w14:paraId="21520592" w14:textId="77777777" w:rsidTr="00226BAD">
        <w:tc>
          <w:tcPr>
            <w:tcW w:w="9070" w:type="dxa"/>
            <w:shd w:val="clear" w:color="auto" w:fill="auto"/>
          </w:tcPr>
          <w:p w14:paraId="62AC6B0F" w14:textId="0CB1F174" w:rsidR="00226BAD" w:rsidRDefault="00226BAD" w:rsidP="00226BAD">
            <w:pPr>
              <w:pStyle w:val="ASDEFCONOption"/>
            </w:pPr>
            <w:bookmarkStart w:id="18" w:name="_Ref83128502"/>
            <w:r>
              <w:t>Option:  Include the following clauses when foreign currencies are applicable.</w:t>
            </w:r>
          </w:p>
          <w:p w14:paraId="0B94010F" w14:textId="2783D9DE" w:rsidR="00226BAD" w:rsidRDefault="00226BAD" w:rsidP="00226BAD">
            <w:pPr>
              <w:pStyle w:val="COTCOCLV3-ASDEFCON"/>
            </w:pPr>
            <w:bookmarkStart w:id="19" w:name="_Ref105052596"/>
            <w:r>
              <w:t xml:space="preserve">If an S&amp;Q Service will include component costs in foreign currencies, for rates that are not included in Annex </w:t>
            </w:r>
            <w:r w:rsidR="00CE2C8B">
              <w:t>E</w:t>
            </w:r>
            <w:r>
              <w:t>, values are to be quoted in source currency and equivalent Australian dollars (using the Reserve Bank of Australia rate as at the day prior to the submission of the S&amp;Q Quote) inclusive of all applicable taxes and other duties, or as otherwise agreed between the parties.</w:t>
            </w:r>
            <w:bookmarkEnd w:id="18"/>
            <w:bookmarkEnd w:id="19"/>
          </w:p>
          <w:p w14:paraId="1667A5D8" w14:textId="0B357B48" w:rsidR="00226BAD" w:rsidRDefault="00226BAD" w:rsidP="00E96485">
            <w:pPr>
              <w:pStyle w:val="COTCOCLV3-ASDEFCON"/>
            </w:pPr>
            <w:r>
              <w:t>Where an S&amp;Q Quote is submitted that includes amounts priced in foreign currencies, and equivalent Australian dollar amounts determined in accordance with clause</w:t>
            </w:r>
            <w:r w:rsidR="00E96485">
              <w:t xml:space="preserve"> </w:t>
            </w:r>
            <w:r w:rsidR="00E96485">
              <w:fldChar w:fldCharType="begin"/>
            </w:r>
            <w:r w:rsidR="00E96485">
              <w:instrText xml:space="preserve"> REF _Ref105052596 \r \h </w:instrText>
            </w:r>
            <w:r w:rsidR="00E96485">
              <w:fldChar w:fldCharType="separate"/>
            </w:r>
            <w:r w:rsidR="00937882">
              <w:t>5.1.3</w:t>
            </w:r>
            <w:r w:rsidR="00E96485">
              <w:fldChar w:fldCharType="end"/>
            </w:r>
            <w:r>
              <w:t>, the Commonwealth may elect to pay any amounts under any resulting S&amp;Q Order in either source currency or Australian dollars, as applicable.</w:t>
            </w:r>
          </w:p>
        </w:tc>
      </w:tr>
    </w:tbl>
    <w:p w14:paraId="017ADAAD" w14:textId="77777777" w:rsidR="00226BAD" w:rsidRDefault="00226BAD" w:rsidP="00FA7EF5">
      <w:pPr>
        <w:pStyle w:val="ASDEFCONOptionSpace"/>
      </w:pPr>
    </w:p>
    <w:p w14:paraId="2BEDF4C6" w14:textId="033BBDF6" w:rsidR="00E375A2" w:rsidRDefault="00E375A2" w:rsidP="00FA7EF5">
      <w:pPr>
        <w:pStyle w:val="COTCOCLV2-ASDEFCON"/>
      </w:pPr>
      <w:r>
        <w:t>Not-To-Exceed S&amp;Q Services</w:t>
      </w:r>
    </w:p>
    <w:p w14:paraId="5DEFB434" w14:textId="77777777" w:rsidR="00E375A2" w:rsidRDefault="00E375A2" w:rsidP="00FA7EF5">
      <w:pPr>
        <w:pStyle w:val="COTCOCLV3-ASDEFCON"/>
      </w:pPr>
      <w:r w:rsidRPr="00E557E1">
        <w:t>This clause applies to an S&amp;Q Service</w:t>
      </w:r>
      <w:r>
        <w:t xml:space="preserve"> </w:t>
      </w:r>
      <w:r w:rsidR="00B963C6">
        <w:t>to the extent that</w:t>
      </w:r>
      <w:r w:rsidR="00B963C6" w:rsidRPr="00E557E1">
        <w:t xml:space="preserve"> </w:t>
      </w:r>
      <w:r w:rsidR="00B963C6" w:rsidRPr="003C5025">
        <w:t>the S&amp;Q Order specifies</w:t>
      </w:r>
      <w:r w:rsidR="00B963C6" w:rsidRPr="00E557E1">
        <w:t xml:space="preserve"> a </w:t>
      </w:r>
      <w:r w:rsidR="00B963C6">
        <w:t>N</w:t>
      </w:r>
      <w:r w:rsidR="00B963C6" w:rsidRPr="00E557E1">
        <w:t>ot-</w:t>
      </w:r>
      <w:r w:rsidR="00B963C6">
        <w:t>T</w:t>
      </w:r>
      <w:r w:rsidR="00B963C6" w:rsidRPr="00E557E1">
        <w:t>o-</w:t>
      </w:r>
      <w:r w:rsidR="00B963C6">
        <w:t>E</w:t>
      </w:r>
      <w:r w:rsidR="00B963C6" w:rsidRPr="00E557E1">
        <w:t>xceed basis for pricing and payment</w:t>
      </w:r>
      <w:r>
        <w:t>.</w:t>
      </w:r>
    </w:p>
    <w:p w14:paraId="3FD78E94" w14:textId="66346BCD" w:rsidR="00AC3689" w:rsidRDefault="005849D5" w:rsidP="00AB0944">
      <w:pPr>
        <w:pStyle w:val="COTCOCLV3-ASDEFCON"/>
      </w:pPr>
      <w:r>
        <w:t>F</w:t>
      </w:r>
      <w:r w:rsidR="00B963C6" w:rsidRPr="00E557E1">
        <w:t xml:space="preserve">or each </w:t>
      </w:r>
      <w:r w:rsidR="00B963C6">
        <w:t xml:space="preserve">Not-To-Exceed </w:t>
      </w:r>
      <w:r w:rsidR="00B963C6" w:rsidRPr="00E557E1">
        <w:t xml:space="preserve">S&amp;Q Service, </w:t>
      </w:r>
      <w:r>
        <w:t>t</w:t>
      </w:r>
      <w:r w:rsidRPr="00E557E1">
        <w:t>he Commonwealth shal</w:t>
      </w:r>
      <w:r>
        <w:t xml:space="preserve">l </w:t>
      </w:r>
      <w:r w:rsidR="00B963C6" w:rsidRPr="00E557E1">
        <w:t>pay to the Contractor</w:t>
      </w:r>
      <w:r w:rsidR="00B963C6">
        <w:t>, monthly in arrears,</w:t>
      </w:r>
      <w:r w:rsidR="00B963C6" w:rsidRPr="00E557E1">
        <w:t xml:space="preserve"> the </w:t>
      </w:r>
      <w:r>
        <w:t>amounts payable to</w:t>
      </w:r>
      <w:r w:rsidR="00B963C6" w:rsidRPr="00E557E1">
        <w:t xml:space="preserve"> the Contractor in </w:t>
      </w:r>
      <w:r>
        <w:t>accordance with</w:t>
      </w:r>
      <w:r w:rsidRPr="00E557E1">
        <w:t xml:space="preserve"> </w:t>
      </w:r>
      <w:r w:rsidR="00B963C6" w:rsidRPr="00E557E1">
        <w:t xml:space="preserve">the S&amp;Q </w:t>
      </w:r>
      <w:r>
        <w:t>Order</w:t>
      </w:r>
      <w:r w:rsidR="00B963C6" w:rsidRPr="00E557E1">
        <w:t xml:space="preserve"> </w:t>
      </w:r>
      <w:r>
        <w:t>for</w:t>
      </w:r>
      <w:r w:rsidR="00B963C6" w:rsidRPr="00E557E1">
        <w:t xml:space="preserve"> labour</w:t>
      </w:r>
      <w:r>
        <w:t>,</w:t>
      </w:r>
      <w:r w:rsidR="00B963C6" w:rsidRPr="00E557E1">
        <w:t xml:space="preserve"> materials</w:t>
      </w:r>
      <w:r w:rsidR="00B963C6">
        <w:t>,</w:t>
      </w:r>
      <w:r w:rsidR="00B963C6" w:rsidRPr="00E557E1">
        <w:t xml:space="preserve"> </w:t>
      </w:r>
      <w:r w:rsidR="00B963C6">
        <w:t>S</w:t>
      </w:r>
      <w:r w:rsidR="00B963C6" w:rsidRPr="00E557E1">
        <w:t>ubcontract</w:t>
      </w:r>
      <w:r w:rsidR="00B963C6">
        <w:t xml:space="preserve">s and </w:t>
      </w:r>
      <w:r w:rsidR="003A3EB5">
        <w:t>O</w:t>
      </w:r>
      <w:r w:rsidR="00B963C6">
        <w:t xml:space="preserve">ther </w:t>
      </w:r>
      <w:r w:rsidR="003A3EB5">
        <w:t>Direct</w:t>
      </w:r>
      <w:r w:rsidR="003A3EB5" w:rsidRPr="00E557E1">
        <w:t xml:space="preserve"> </w:t>
      </w:r>
      <w:r w:rsidR="00B963C6">
        <w:t>C</w:t>
      </w:r>
      <w:r w:rsidR="00B963C6" w:rsidRPr="00E557E1">
        <w:t>osts (</w:t>
      </w:r>
      <w:r>
        <w:t>as</w:t>
      </w:r>
      <w:r w:rsidRPr="00E557E1">
        <w:t xml:space="preserve"> </w:t>
      </w:r>
      <w:r w:rsidR="00B963C6">
        <w:t>applicable</w:t>
      </w:r>
      <w:r w:rsidR="00B963C6" w:rsidRPr="00E557E1">
        <w:t xml:space="preserve">) </w:t>
      </w:r>
      <w:r>
        <w:t xml:space="preserve">up to </w:t>
      </w:r>
      <w:r w:rsidR="00B963C6" w:rsidRPr="00E557E1">
        <w:t xml:space="preserve">the </w:t>
      </w:r>
      <w:r w:rsidR="00B963C6">
        <w:t xml:space="preserve">Not-To-Exceed price set out in the </w:t>
      </w:r>
      <w:r w:rsidR="00B963C6" w:rsidRPr="00E557E1">
        <w:t xml:space="preserve">S&amp;Q </w:t>
      </w:r>
      <w:r w:rsidR="00B963C6">
        <w:t>Order.</w:t>
      </w:r>
    </w:p>
    <w:p w14:paraId="127B2F1B" w14:textId="4282C199" w:rsidR="004D7B57" w:rsidRDefault="004D7B57" w:rsidP="00FA7EF5">
      <w:pPr>
        <w:pStyle w:val="COTCOCLV2-ASDEFCON"/>
      </w:pPr>
      <w:r>
        <w:t>Firm Price S&amp;Q Services</w:t>
      </w:r>
    </w:p>
    <w:p w14:paraId="6123DD13" w14:textId="30E9C53C" w:rsidR="004D7B57" w:rsidRDefault="004D7B57" w:rsidP="00FA7EF5">
      <w:pPr>
        <w:pStyle w:val="COTCOCLV3-ASDEFCON"/>
      </w:pPr>
      <w:r w:rsidRPr="00E557E1">
        <w:t xml:space="preserve">This clause applies to an S&amp;Q Service </w:t>
      </w:r>
      <w:r>
        <w:t>t</w:t>
      </w:r>
      <w:r w:rsidR="00330889">
        <w:t>o the extent that</w:t>
      </w:r>
      <w:r w:rsidR="00330889" w:rsidRPr="00E557E1">
        <w:t xml:space="preserve"> the S&amp;Q </w:t>
      </w:r>
      <w:r w:rsidR="00330889">
        <w:t>Order</w:t>
      </w:r>
      <w:r w:rsidR="00330889" w:rsidRPr="00E557E1">
        <w:t xml:space="preserve"> specifies a </w:t>
      </w:r>
      <w:r w:rsidR="00330889">
        <w:t>f</w:t>
      </w:r>
      <w:r w:rsidR="00330889" w:rsidRPr="00E557E1">
        <w:t>i</w:t>
      </w:r>
      <w:r w:rsidR="00330889">
        <w:t>rm</w:t>
      </w:r>
      <w:r w:rsidR="00330889" w:rsidRPr="00E557E1">
        <w:t xml:space="preserve"> </w:t>
      </w:r>
      <w:r w:rsidR="00330889">
        <w:t>p</w:t>
      </w:r>
      <w:r w:rsidR="00330889" w:rsidRPr="00E557E1">
        <w:t>rice basis for pricing and payment</w:t>
      </w:r>
      <w:r w:rsidR="005F0667">
        <w:t>.</w:t>
      </w:r>
    </w:p>
    <w:p w14:paraId="5E4E78F8" w14:textId="3D36785E" w:rsidR="00330889" w:rsidRPr="00FD61D9" w:rsidRDefault="005849D5" w:rsidP="00FA7EF5">
      <w:pPr>
        <w:pStyle w:val="COTCOCLV3-ASDEFCON"/>
      </w:pPr>
      <w:r>
        <w:t>F</w:t>
      </w:r>
      <w:r w:rsidR="00330889" w:rsidRPr="00E557E1">
        <w:t xml:space="preserve">or </w:t>
      </w:r>
      <w:r w:rsidR="00330889">
        <w:t>each firm price</w:t>
      </w:r>
      <w:r w:rsidR="00330889" w:rsidRPr="00E557E1">
        <w:t xml:space="preserve"> S&amp;Q Service, </w:t>
      </w:r>
      <w:r>
        <w:t>t</w:t>
      </w:r>
      <w:r w:rsidRPr="00E557E1">
        <w:t xml:space="preserve">he Commonwealth shall </w:t>
      </w:r>
      <w:r w:rsidR="00330889" w:rsidRPr="00E557E1">
        <w:t xml:space="preserve">pay to the </w:t>
      </w:r>
      <w:r w:rsidR="00330889" w:rsidRPr="00FD61D9">
        <w:t>Contractor, monthly in arrears, the following:</w:t>
      </w:r>
    </w:p>
    <w:p w14:paraId="0383AE85" w14:textId="77AD5B86" w:rsidR="00330889" w:rsidRPr="00E557E1" w:rsidRDefault="00330889" w:rsidP="00FA7EF5">
      <w:pPr>
        <w:pStyle w:val="COTCOCLV4-ASDEFCON"/>
      </w:pPr>
      <w:r w:rsidRPr="00E557E1">
        <w:t xml:space="preserve">if the Contractor achieves a </w:t>
      </w:r>
      <w:r>
        <w:t>m</w:t>
      </w:r>
      <w:r w:rsidRPr="00E557E1">
        <w:t xml:space="preserve">ilestone specified in the S&amp;Q </w:t>
      </w:r>
      <w:r>
        <w:t>Order</w:t>
      </w:r>
      <w:r w:rsidRPr="00E557E1">
        <w:t xml:space="preserve">, the amount specified for the </w:t>
      </w:r>
      <w:r>
        <w:t>m</w:t>
      </w:r>
      <w:r w:rsidRPr="00E557E1">
        <w:t xml:space="preserve">ilestone in the S&amp;Q </w:t>
      </w:r>
      <w:r>
        <w:t>Order</w:t>
      </w:r>
      <w:r w:rsidRPr="00E557E1">
        <w:t>;</w:t>
      </w:r>
    </w:p>
    <w:p w14:paraId="6DCAD16C" w14:textId="77777777" w:rsidR="00330889" w:rsidRPr="00E557E1" w:rsidRDefault="00330889" w:rsidP="00FA7EF5">
      <w:pPr>
        <w:pStyle w:val="COTCOCLV4-ASDEFCON"/>
      </w:pPr>
      <w:r w:rsidRPr="00E557E1">
        <w:t xml:space="preserve">upon Acceptance of the S&amp;Q Service (and Acceptance of any associated Deliverables), </w:t>
      </w:r>
      <w:r>
        <w:t>any amount</w:t>
      </w:r>
      <w:r w:rsidRPr="00E557E1">
        <w:t xml:space="preserve"> specified in the S&amp;Q </w:t>
      </w:r>
      <w:r>
        <w:t>Order</w:t>
      </w:r>
      <w:r w:rsidRPr="00E557E1">
        <w:t xml:space="preserve"> as being payable upon Acceptance;</w:t>
      </w:r>
      <w:r>
        <w:t xml:space="preserve"> and</w:t>
      </w:r>
    </w:p>
    <w:p w14:paraId="18D1036A" w14:textId="77777777" w:rsidR="00330889" w:rsidRPr="00E557E1" w:rsidRDefault="00330889" w:rsidP="00FA7EF5">
      <w:pPr>
        <w:pStyle w:val="COTCOCLV4-ASDEFCON"/>
      </w:pPr>
      <w:r>
        <w:t>any other amount</w:t>
      </w:r>
      <w:r w:rsidRPr="00E557E1">
        <w:t xml:space="preserve"> specified to be payable in accordance with the S&amp;Q </w:t>
      </w:r>
      <w:r>
        <w:t>Order.</w:t>
      </w:r>
    </w:p>
    <w:p w14:paraId="67BB4624" w14:textId="7E259247" w:rsidR="00B963C6" w:rsidRDefault="00045EEB" w:rsidP="00FA7EF5">
      <w:pPr>
        <w:pStyle w:val="COTCOCLV1-ASDEFCON"/>
      </w:pPr>
      <w:bookmarkStart w:id="20" w:name="_Ref94692914"/>
      <w:r>
        <w:t>Adjustments (CORE)</w:t>
      </w:r>
      <w:bookmarkEnd w:id="20"/>
    </w:p>
    <w:p w14:paraId="05B5D97A" w14:textId="355ADF95" w:rsidR="00045EEB" w:rsidRPr="00EE1C21" w:rsidRDefault="00045EEB" w:rsidP="000B2D6B">
      <w:pPr>
        <w:pStyle w:val="NoteToTenderers-ASDEFCON"/>
      </w:pPr>
      <w:r>
        <w:t>Note</w:t>
      </w:r>
      <w:r w:rsidR="000B2D6B">
        <w:t xml:space="preserve"> to tenderers</w:t>
      </w:r>
      <w:r>
        <w:t xml:space="preserve">:  </w:t>
      </w:r>
      <w:r w:rsidRPr="00BD4038">
        <w:t>Agreements reached as a result of workplace enterprise bargaining are not considered to be awards for the purposes of the formula set out below</w:t>
      </w:r>
      <w:r>
        <w:t>.</w:t>
      </w:r>
    </w:p>
    <w:p w14:paraId="147DD1A8" w14:textId="0E7AC734" w:rsidR="004D7B57" w:rsidRDefault="004D7B57" w:rsidP="00FA7EF5">
      <w:pPr>
        <w:pStyle w:val="COTCOCLV2-ASDEFCON"/>
      </w:pPr>
      <w:r>
        <w:t>General</w:t>
      </w:r>
    </w:p>
    <w:p w14:paraId="09D7A21A" w14:textId="41E83EAE" w:rsidR="00260EA9" w:rsidRDefault="00260EA9" w:rsidP="00260EA9">
      <w:pPr>
        <w:pStyle w:val="COTCOCLV3-ASDEFCON"/>
      </w:pPr>
      <w:r>
        <w:t xml:space="preserve">In this clause </w:t>
      </w:r>
      <w:r>
        <w:fldChar w:fldCharType="begin"/>
      </w:r>
      <w:r>
        <w:instrText xml:space="preserve"> REF _Ref94692914 \r \h </w:instrText>
      </w:r>
      <w:r>
        <w:fldChar w:fldCharType="separate"/>
      </w:r>
      <w:r w:rsidR="0068250C">
        <w:t>6</w:t>
      </w:r>
      <w:r>
        <w:fldChar w:fldCharType="end"/>
      </w:r>
      <w:r>
        <w:t>, the following interpretations apply:</w:t>
      </w:r>
    </w:p>
    <w:p w14:paraId="30726BE1" w14:textId="0A58DAA4" w:rsidR="00260EA9" w:rsidRDefault="00260EA9" w:rsidP="00260EA9">
      <w:pPr>
        <w:pStyle w:val="COTCOCLV4-ASDEFCON"/>
      </w:pPr>
      <w:r>
        <w:t>when applicable, the pricing tables in the Annexes to this Attachment are adjusted from the Adjustment Date, in accordance with clause 7.</w:t>
      </w:r>
      <w:r w:rsidR="000A3775">
        <w:t>3</w:t>
      </w:r>
      <w:r>
        <w:t xml:space="preserve"> of the COC;</w:t>
      </w:r>
    </w:p>
    <w:p w14:paraId="28C5593C" w14:textId="77777777" w:rsidR="0087309A" w:rsidRDefault="0087309A" w:rsidP="0087309A">
      <w:pPr>
        <w:pStyle w:val="COTCOCLV4-ASDEFCON"/>
      </w:pPr>
      <w:bookmarkStart w:id="21" w:name="_Ref80022983"/>
      <w:r>
        <w:t>the price for a Milestone is the price applicable to the due date for achievement of that Milestone (ie, not a price applicable to a later date, if achievement of the Milestone or if the invoice was submitted, subsequent to the Adjustment Date);</w:t>
      </w:r>
      <w:bookmarkEnd w:id="21"/>
    </w:p>
    <w:p w14:paraId="3AC22273" w14:textId="36BE6C8A" w:rsidR="00260EA9" w:rsidRDefault="0087309A" w:rsidP="00260EA9">
      <w:pPr>
        <w:pStyle w:val="COTCOCLV4-ASDEFCON"/>
      </w:pPr>
      <w:r>
        <w:t xml:space="preserve">subject to paragraph </w:t>
      </w:r>
      <w:r>
        <w:fldChar w:fldCharType="begin"/>
      </w:r>
      <w:r>
        <w:instrText xml:space="preserve"> REF _Ref80022983 \n \h </w:instrText>
      </w:r>
      <w:r>
        <w:fldChar w:fldCharType="separate"/>
      </w:r>
      <w:r w:rsidR="0068250C">
        <w:t>b</w:t>
      </w:r>
      <w:r>
        <w:fldChar w:fldCharType="end"/>
      </w:r>
      <w:r>
        <w:t xml:space="preserve">, </w:t>
      </w:r>
      <w:r w:rsidR="00260EA9">
        <w:t>the price for a Service is the price applicable to the period of when the Service was performed, not the date of the invoice (ie, if the invoice was submitted subsequent to the Adjustment Date);</w:t>
      </w:r>
    </w:p>
    <w:p w14:paraId="3E7200AF" w14:textId="52FE837D" w:rsidR="00260EA9" w:rsidRDefault="00260EA9" w:rsidP="00260EA9">
      <w:pPr>
        <w:pStyle w:val="COTCOCLV4-ASDEFCON"/>
      </w:pPr>
      <w:r>
        <w:t xml:space="preserve">in accordance with clause </w:t>
      </w:r>
      <w:r w:rsidR="00E879A0">
        <w:t>7.3.1</w:t>
      </w:r>
      <w:r>
        <w:t xml:space="preserve"> of the COC, unless stated otherwise in </w:t>
      </w:r>
      <w:r w:rsidR="00EF70A3">
        <w:t xml:space="preserve">the price and payment basis for </w:t>
      </w:r>
      <w:r>
        <w:t xml:space="preserve">an S&amp;Q Order, prices </w:t>
      </w:r>
      <w:r w:rsidR="00EF70A3">
        <w:t xml:space="preserve">and payments </w:t>
      </w:r>
      <w:r>
        <w:t>for an</w:t>
      </w:r>
      <w:r w:rsidR="00EF70A3">
        <w:t>y unperformed</w:t>
      </w:r>
      <w:r>
        <w:t xml:space="preserve"> S&amp;Q Service</w:t>
      </w:r>
      <w:r w:rsidR="00EF70A3">
        <w:t>s</w:t>
      </w:r>
      <w:r>
        <w:t xml:space="preserve"> are not subject to an adjustment;</w:t>
      </w:r>
    </w:p>
    <w:p w14:paraId="36911849" w14:textId="1745FF56" w:rsidR="00260EA9" w:rsidRDefault="00260EA9" w:rsidP="00260EA9">
      <w:pPr>
        <w:pStyle w:val="COTCOCLV4-ASDEFCON"/>
      </w:pPr>
      <w:bookmarkStart w:id="22" w:name="_Ref80021478"/>
      <w:r>
        <w:t xml:space="preserve">if a source of an index publishes provisional and final index </w:t>
      </w:r>
      <w:r w:rsidR="00BE0D8E">
        <w:t>values</w:t>
      </w:r>
      <w:r>
        <w:t xml:space="preserve">, </w:t>
      </w:r>
      <w:r w:rsidR="00027FDD">
        <w:t xml:space="preserve">only the </w:t>
      </w:r>
      <w:r>
        <w:t xml:space="preserve">index </w:t>
      </w:r>
      <w:r w:rsidR="00BE0D8E">
        <w:t xml:space="preserve">values </w:t>
      </w:r>
      <w:r>
        <w:t xml:space="preserve">designated as </w:t>
      </w:r>
      <w:r w:rsidR="00027FDD">
        <w:t xml:space="preserve">final </w:t>
      </w:r>
      <w:r>
        <w:t>shall be used;</w:t>
      </w:r>
      <w:bookmarkEnd w:id="22"/>
    </w:p>
    <w:p w14:paraId="775D72C5" w14:textId="13309595" w:rsidR="00260EA9" w:rsidRDefault="00260EA9" w:rsidP="00260EA9">
      <w:pPr>
        <w:pStyle w:val="COTCOCLV4-ASDEFCON"/>
      </w:pPr>
      <w:r>
        <w:t xml:space="preserve">subject to </w:t>
      </w:r>
      <w:r w:rsidR="00BE1EFE">
        <w:t xml:space="preserve">clause </w:t>
      </w:r>
      <w:r w:rsidR="00BE1EFE">
        <w:fldChar w:fldCharType="begin"/>
      </w:r>
      <w:r w:rsidR="00BE1EFE">
        <w:instrText xml:space="preserve"> REF _Ref80021478 \w \h </w:instrText>
      </w:r>
      <w:r w:rsidR="00BE1EFE">
        <w:fldChar w:fldCharType="separate"/>
      </w:r>
      <w:r w:rsidR="0068250C">
        <w:t>6.1.1e</w:t>
      </w:r>
      <w:r w:rsidR="00BE1EFE">
        <w:fldChar w:fldCharType="end"/>
      </w:r>
      <w:r>
        <w:t>, if an index is published more than once during a year</w:t>
      </w:r>
      <w:r w:rsidR="008144C4">
        <w:t xml:space="preserve"> then</w:t>
      </w:r>
      <w:r>
        <w:t xml:space="preserve">, for the purposes of the formulae, the index number for that year shall be taken to be the last index number officially published </w:t>
      </w:r>
      <w:r w:rsidR="008144C4">
        <w:t>before the Adjustment Date</w:t>
      </w:r>
      <w:r>
        <w:t>; and</w:t>
      </w:r>
    </w:p>
    <w:p w14:paraId="780E9176" w14:textId="5708EFFE" w:rsidR="00E44410" w:rsidRDefault="00260EA9" w:rsidP="00FA7EF5">
      <w:pPr>
        <w:pStyle w:val="COTCOCLV4-ASDEFCON"/>
      </w:pPr>
      <w:r>
        <w:t>if an index is discontinued, rebased or modified and the entity publishing that index provides official guidance on the replacement, bridging or re-baselining methodology to be applied, that guidance should be used as one of the inputs for determining any required update the index.</w:t>
      </w:r>
    </w:p>
    <w:p w14:paraId="6E7F309C" w14:textId="389D3E9C" w:rsidR="004D7B57" w:rsidRPr="00485818" w:rsidRDefault="00BE1EFE" w:rsidP="00FA7EF5">
      <w:pPr>
        <w:pStyle w:val="COTCOCLV2-ASDEFCON"/>
      </w:pPr>
      <w:bookmarkStart w:id="23" w:name="_Ref95228400"/>
      <w:r>
        <w:t>Adjustment Process</w:t>
      </w:r>
      <w:bookmarkEnd w:id="23"/>
    </w:p>
    <w:p w14:paraId="3B4BC960" w14:textId="5BE969CB" w:rsidR="008C6803" w:rsidRDefault="008C6803" w:rsidP="00FA7EF5">
      <w:pPr>
        <w:pStyle w:val="NoteToDrafters-ASDEFCON"/>
      </w:pPr>
      <w:bookmarkStart w:id="24" w:name="_Ref94015630"/>
      <w:r>
        <w:t xml:space="preserve">Note to drafters:  </w:t>
      </w:r>
      <w:r w:rsidR="002421D6">
        <w:t xml:space="preserve">The formula </w:t>
      </w:r>
      <w:r w:rsidR="00E879A0">
        <w:t xml:space="preserve">below </w:t>
      </w:r>
      <w:r w:rsidR="002421D6">
        <w:t xml:space="preserve">can be used for </w:t>
      </w:r>
      <w:r w:rsidR="00EB5917">
        <w:t xml:space="preserve">prices where underlying </w:t>
      </w:r>
      <w:r w:rsidR="00755424">
        <w:t xml:space="preserve">costs </w:t>
      </w:r>
      <w:r w:rsidR="00EB5917">
        <w:t xml:space="preserve">are </w:t>
      </w:r>
      <w:r w:rsidR="00755424">
        <w:t xml:space="preserve">in a foreign </w:t>
      </w:r>
      <w:r w:rsidR="00776ABB">
        <w:t>currency</w:t>
      </w:r>
      <w:r w:rsidR="00755424">
        <w:t xml:space="preserve"> </w:t>
      </w:r>
      <w:r w:rsidR="00EB5917">
        <w:t>(</w:t>
      </w:r>
      <w:r w:rsidR="00B73840">
        <w:t>with</w:t>
      </w:r>
      <w:r w:rsidR="00755424">
        <w:t xml:space="preserve"> payments made in $A</w:t>
      </w:r>
      <w:r w:rsidR="00B73840">
        <w:t xml:space="preserve"> or in source currency</w:t>
      </w:r>
      <w:r w:rsidR="00EB5917">
        <w:t>)</w:t>
      </w:r>
      <w:r w:rsidR="00755424">
        <w:t>, when</w:t>
      </w:r>
      <w:r w:rsidR="00776ABB">
        <w:t xml:space="preserve"> </w:t>
      </w:r>
      <w:r w:rsidR="00B73840">
        <w:t xml:space="preserve">the </w:t>
      </w:r>
      <w:r w:rsidR="00776ABB">
        <w:t xml:space="preserve">appropriate indices </w:t>
      </w:r>
      <w:r w:rsidR="00755424">
        <w:t>ar</w:t>
      </w:r>
      <w:r w:rsidR="00776ABB">
        <w:t xml:space="preserve">e included in Annex </w:t>
      </w:r>
      <w:r w:rsidR="00CE2C8B">
        <w:t>F</w:t>
      </w:r>
      <w:r w:rsidR="00776ABB">
        <w:t>.</w:t>
      </w:r>
    </w:p>
    <w:p w14:paraId="4D8274D6" w14:textId="5B88E1F6" w:rsidR="003E2BB9" w:rsidRDefault="003E2BB9" w:rsidP="00FA7EF5">
      <w:pPr>
        <w:pStyle w:val="NoteToDrafters-ASDEFCON"/>
      </w:pPr>
      <w:r>
        <w:t xml:space="preserve">The following formula allows for one labour and one materials index per source currency, with the same weightings applied to all </w:t>
      </w:r>
      <w:r w:rsidR="00EB5917">
        <w:t xml:space="preserve">adjusted </w:t>
      </w:r>
      <w:r>
        <w:t xml:space="preserve">prices.  If </w:t>
      </w:r>
      <w:r w:rsidR="00EB5917">
        <w:t xml:space="preserve">different weightings for </w:t>
      </w:r>
      <w:r w:rsidR="0047073D">
        <w:t xml:space="preserve">different prices, or </w:t>
      </w:r>
      <w:r w:rsidR="00EB5917">
        <w:t xml:space="preserve">more than two components </w:t>
      </w:r>
      <w:r w:rsidR="0047073D">
        <w:t xml:space="preserve">are </w:t>
      </w:r>
      <w:r>
        <w:t>required,</w:t>
      </w:r>
      <w:r w:rsidR="00E879A0">
        <w:t xml:space="preserve"> </w:t>
      </w:r>
      <w:r>
        <w:t>refer to the ‘complex’ option within ASDEFCON (Support)</w:t>
      </w:r>
      <w:r w:rsidR="0047073D">
        <w:t xml:space="preserve"> and</w:t>
      </w:r>
      <w:r>
        <w:t xml:space="preserve"> seek</w:t>
      </w:r>
      <w:r w:rsidR="0047073D">
        <w:t xml:space="preserve"> advice from</w:t>
      </w:r>
      <w:r>
        <w:t xml:space="preserve"> </w:t>
      </w:r>
      <w:r w:rsidR="0087309A">
        <w:t>C</w:t>
      </w:r>
      <w:r w:rsidR="0047073D">
        <w:t xml:space="preserve">ommercial and </w:t>
      </w:r>
      <w:r w:rsidR="0087309A">
        <w:t>F</w:t>
      </w:r>
      <w:r w:rsidR="0047073D">
        <w:t xml:space="preserve">inancial </w:t>
      </w:r>
      <w:r w:rsidR="0087309A">
        <w:t>A</w:t>
      </w:r>
      <w:r w:rsidR="0047073D">
        <w:t>nalysis, CASG</w:t>
      </w:r>
      <w:r>
        <w:t>.</w:t>
      </w:r>
    </w:p>
    <w:p w14:paraId="6A650422" w14:textId="2FACEEB6" w:rsidR="00045EEB" w:rsidRPr="003C5025" w:rsidRDefault="00045EEB" w:rsidP="00FA7EF5">
      <w:pPr>
        <w:pStyle w:val="COTCOCLV3-ASDEFCON"/>
      </w:pPr>
      <w:r w:rsidRPr="003C5025">
        <w:t xml:space="preserve">The prices specified in Annexes </w:t>
      </w:r>
      <w:r w:rsidR="0087309A">
        <w:t>A</w:t>
      </w:r>
      <w:r w:rsidR="008266A7">
        <w:t>, C</w:t>
      </w:r>
      <w:r w:rsidR="008115B8">
        <w:t xml:space="preserve"> and</w:t>
      </w:r>
      <w:r w:rsidR="00E44410">
        <w:t xml:space="preserve"> </w:t>
      </w:r>
      <w:r w:rsidR="00CE2C8B">
        <w:t>D</w:t>
      </w:r>
      <w:r w:rsidRPr="003C5025">
        <w:t xml:space="preserve"> </w:t>
      </w:r>
      <w:r w:rsidR="00D16925">
        <w:t>to</w:t>
      </w:r>
      <w:r w:rsidRPr="003C5025">
        <w:t xml:space="preserve"> this Attachment B shall be </w:t>
      </w:r>
      <w:r w:rsidR="008C6803">
        <w:t xml:space="preserve">adjusted for fluctuations in the cost of labour and materials </w:t>
      </w:r>
      <w:r w:rsidR="003A514D">
        <w:t xml:space="preserve">(including where </w:t>
      </w:r>
      <w:r w:rsidR="00DB112B">
        <w:t>prices may be based in</w:t>
      </w:r>
      <w:r w:rsidR="003A514D">
        <w:t xml:space="preserve"> a foreign </w:t>
      </w:r>
      <w:r w:rsidR="00DB112B">
        <w:t xml:space="preserve">source </w:t>
      </w:r>
      <w:r w:rsidR="003A514D">
        <w:t xml:space="preserve">currency) </w:t>
      </w:r>
      <w:r w:rsidR="00E7367D">
        <w:t xml:space="preserve">by applying </w:t>
      </w:r>
      <w:r w:rsidRPr="003C5025">
        <w:t>the following formula</w:t>
      </w:r>
      <w:r w:rsidR="00E7367D" w:rsidRPr="00E7367D">
        <w:t xml:space="preserve"> </w:t>
      </w:r>
      <w:r w:rsidR="00E7367D" w:rsidRPr="003C5025">
        <w:t>in accordance with</w:t>
      </w:r>
      <w:r w:rsidR="00E7367D">
        <w:t xml:space="preserve"> clause 7.3 of the COC</w:t>
      </w:r>
      <w:r w:rsidRPr="003C5025">
        <w:t>:</w:t>
      </w:r>
      <w:bookmarkEnd w:id="24"/>
    </w:p>
    <w:bookmarkStart w:id="25" w:name="_Ref94015769"/>
    <w:p w14:paraId="4884536E" w14:textId="77777777" w:rsidR="004F01E2" w:rsidRPr="00FA7EF5" w:rsidRDefault="00711312" w:rsidP="00017B0B">
      <w:pPr>
        <w:pStyle w:val="ASDEFCONOption"/>
        <w:rPr>
          <w:sz w:val="28"/>
          <w:szCs w:val="28"/>
        </w:rPr>
      </w:pPr>
      <m:oMathPara>
        <m:oMath>
          <m:sSub>
            <m:sSubPr>
              <m:ctrlPr>
                <w:rPr>
                  <w:rFonts w:ascii="Cambria Math" w:hAnsi="Cambria Math"/>
                  <w:sz w:val="24"/>
                </w:rPr>
              </m:ctrlPr>
            </m:sSubPr>
            <m:e>
              <m:r>
                <m:rPr>
                  <m:sty m:val="bi"/>
                </m:rPr>
                <w:rPr>
                  <w:rFonts w:ascii="Cambria Math" w:hAnsi="Cambria Math"/>
                  <w:sz w:val="24"/>
                </w:rPr>
                <m:t>P</m:t>
              </m:r>
            </m:e>
            <m:sub>
              <m:r>
                <m:rPr>
                  <m:sty m:val="bi"/>
                </m:rPr>
                <w:rPr>
                  <w:rFonts w:ascii="Cambria Math" w:hAnsi="Cambria Math"/>
                  <w:sz w:val="24"/>
                </w:rPr>
                <m:t>1</m:t>
              </m:r>
            </m:sub>
          </m:sSub>
          <m:r>
            <m:rPr>
              <m:sty m:val="bi"/>
            </m:rPr>
            <w:rPr>
              <w:rFonts w:ascii="Cambria Math" w:hAnsi="Cambria Math"/>
              <w:sz w:val="24"/>
            </w:rPr>
            <m:t>=</m:t>
          </m:r>
          <m:d>
            <m:dPr>
              <m:ctrlPr>
                <w:rPr>
                  <w:rFonts w:ascii="Cambria Math" w:hAnsi="Cambria Math"/>
                  <w:sz w:val="24"/>
                </w:rPr>
              </m:ctrlPr>
            </m:dPr>
            <m:e>
              <m:r>
                <m:rPr>
                  <m:sty m:val="bi"/>
                </m:rPr>
                <w:rPr>
                  <w:rFonts w:ascii="Cambria Math" w:hAnsi="Cambria Math"/>
                  <w:sz w:val="24"/>
                </w:rPr>
                <m:t>Y*</m:t>
              </m:r>
              <m:f>
                <m:fPr>
                  <m:ctrlPr>
                    <w:rPr>
                      <w:rFonts w:ascii="Cambria Math" w:hAnsi="Cambria Math"/>
                      <w:sz w:val="24"/>
                    </w:rPr>
                  </m:ctrlPr>
                </m:fPr>
                <m:num>
                  <m:sSub>
                    <m:sSubPr>
                      <m:ctrlPr>
                        <w:rPr>
                          <w:rFonts w:ascii="Cambria Math" w:hAnsi="Cambria Math"/>
                          <w:sz w:val="24"/>
                        </w:rPr>
                      </m:ctrlPr>
                    </m:sSubPr>
                    <m:e>
                      <m:r>
                        <m:rPr>
                          <m:sty m:val="bi"/>
                        </m:rPr>
                        <w:rPr>
                          <w:rFonts w:ascii="Cambria Math" w:hAnsi="Cambria Math"/>
                          <w:sz w:val="24"/>
                        </w:rPr>
                        <m:t>L</m:t>
                      </m:r>
                    </m:e>
                    <m:sub>
                      <m:r>
                        <m:rPr>
                          <m:sty m:val="bi"/>
                        </m:rPr>
                        <w:rPr>
                          <w:rFonts w:ascii="Cambria Math" w:hAnsi="Cambria Math"/>
                          <w:sz w:val="24"/>
                        </w:rPr>
                        <m:t>1</m:t>
                      </m:r>
                    </m:sub>
                  </m:sSub>
                </m:num>
                <m:den>
                  <m:sSub>
                    <m:sSubPr>
                      <m:ctrlPr>
                        <w:rPr>
                          <w:rFonts w:ascii="Cambria Math" w:hAnsi="Cambria Math"/>
                          <w:sz w:val="24"/>
                        </w:rPr>
                      </m:ctrlPr>
                    </m:sSubPr>
                    <m:e>
                      <m:r>
                        <m:rPr>
                          <m:sty m:val="bi"/>
                        </m:rPr>
                        <w:rPr>
                          <w:rFonts w:ascii="Cambria Math" w:hAnsi="Cambria Math"/>
                          <w:sz w:val="24"/>
                        </w:rPr>
                        <m:t>L</m:t>
                      </m:r>
                    </m:e>
                    <m:sub>
                      <m:r>
                        <m:rPr>
                          <m:sty m:val="bi"/>
                        </m:rPr>
                        <w:rPr>
                          <w:rFonts w:ascii="Cambria Math" w:hAnsi="Cambria Math"/>
                          <w:sz w:val="24"/>
                        </w:rPr>
                        <m:t>0</m:t>
                      </m:r>
                    </m:sub>
                  </m:sSub>
                </m:den>
              </m:f>
              <m:r>
                <m:rPr>
                  <m:sty m:val="bi"/>
                </m:rPr>
                <w:rPr>
                  <w:rFonts w:ascii="Cambria Math" w:hAnsi="Cambria Math"/>
                  <w:sz w:val="24"/>
                </w:rPr>
                <m:t>+Z*</m:t>
              </m:r>
              <m:f>
                <m:fPr>
                  <m:ctrlPr>
                    <w:rPr>
                      <w:rFonts w:ascii="Cambria Math" w:hAnsi="Cambria Math"/>
                      <w:sz w:val="24"/>
                    </w:rPr>
                  </m:ctrlPr>
                </m:fPr>
                <m:num>
                  <m:sSub>
                    <m:sSubPr>
                      <m:ctrlPr>
                        <w:rPr>
                          <w:rFonts w:ascii="Cambria Math" w:hAnsi="Cambria Math"/>
                          <w:sz w:val="24"/>
                        </w:rPr>
                      </m:ctrlPr>
                    </m:sSubPr>
                    <m:e>
                      <m:r>
                        <m:rPr>
                          <m:sty m:val="bi"/>
                        </m:rPr>
                        <w:rPr>
                          <w:rFonts w:ascii="Cambria Math" w:hAnsi="Cambria Math"/>
                          <w:sz w:val="24"/>
                        </w:rPr>
                        <m:t>M</m:t>
                      </m:r>
                    </m:e>
                    <m:sub>
                      <m:r>
                        <m:rPr>
                          <m:sty m:val="bi"/>
                        </m:rPr>
                        <w:rPr>
                          <w:rFonts w:ascii="Cambria Math" w:hAnsi="Cambria Math"/>
                          <w:sz w:val="24"/>
                        </w:rPr>
                        <m:t>1</m:t>
                      </m:r>
                    </m:sub>
                  </m:sSub>
                </m:num>
                <m:den>
                  <m:sSub>
                    <m:sSubPr>
                      <m:ctrlPr>
                        <w:rPr>
                          <w:rFonts w:ascii="Cambria Math" w:hAnsi="Cambria Math"/>
                          <w:sz w:val="24"/>
                        </w:rPr>
                      </m:ctrlPr>
                    </m:sSubPr>
                    <m:e>
                      <m:r>
                        <m:rPr>
                          <m:sty m:val="bi"/>
                        </m:rPr>
                        <w:rPr>
                          <w:rFonts w:ascii="Cambria Math" w:hAnsi="Cambria Math"/>
                          <w:sz w:val="24"/>
                        </w:rPr>
                        <m:t>M</m:t>
                      </m:r>
                    </m:e>
                    <m:sub>
                      <m:r>
                        <m:rPr>
                          <m:sty m:val="bi"/>
                        </m:rPr>
                        <w:rPr>
                          <w:rFonts w:ascii="Cambria Math" w:hAnsi="Cambria Math"/>
                          <w:sz w:val="24"/>
                        </w:rPr>
                        <m:t>0</m:t>
                      </m:r>
                    </m:sub>
                  </m:sSub>
                </m:den>
              </m:f>
            </m:e>
          </m:d>
          <m:r>
            <m:rPr>
              <m:sty m:val="bi"/>
            </m:rPr>
            <w:rPr>
              <w:rFonts w:ascii="Cambria Math" w:hAnsi="Cambria Math"/>
              <w:sz w:val="24"/>
            </w:rPr>
            <m:t>*</m:t>
          </m:r>
          <m:sSub>
            <m:sSubPr>
              <m:ctrlPr>
                <w:rPr>
                  <w:rFonts w:ascii="Cambria Math" w:hAnsi="Cambria Math"/>
                  <w:sz w:val="24"/>
                </w:rPr>
              </m:ctrlPr>
            </m:sSubPr>
            <m:e>
              <m:r>
                <m:rPr>
                  <m:sty m:val="bi"/>
                </m:rPr>
                <w:rPr>
                  <w:rFonts w:ascii="Cambria Math" w:hAnsi="Cambria Math"/>
                  <w:sz w:val="24"/>
                </w:rPr>
                <m:t>P</m:t>
              </m:r>
            </m:e>
            <m:sub>
              <m:r>
                <m:rPr>
                  <m:sty m:val="bi"/>
                </m:rPr>
                <w:rPr>
                  <w:rFonts w:ascii="Cambria Math" w:hAnsi="Cambria Math"/>
                  <w:sz w:val="24"/>
                </w:rPr>
                <m:t>0</m:t>
              </m:r>
            </m:sub>
          </m:sSub>
        </m:oMath>
      </m:oMathPara>
    </w:p>
    <w:p w14:paraId="178175E9" w14:textId="36C60B6C" w:rsidR="004F01E2" w:rsidRDefault="001562DF" w:rsidP="00017B0B">
      <w:pPr>
        <w:pStyle w:val="COTCOCLV3NONUM-ASDEFCON"/>
      </w:pPr>
      <w:r>
        <w:t>where</w:t>
      </w:r>
      <w:r w:rsidR="00DB112B">
        <w:t>, for each applicable source currency</w:t>
      </w:r>
      <w:r w:rsidR="004F01E2">
        <w:t>:</w:t>
      </w:r>
    </w:p>
    <w:tbl>
      <w:tblPr>
        <w:tblW w:w="8199" w:type="dxa"/>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490"/>
      </w:tblGrid>
      <w:tr w:rsidR="004F01E2" w:rsidRPr="00F25DFF" w14:paraId="3EBF00F3" w14:textId="77777777" w:rsidTr="001F3F89">
        <w:trPr>
          <w:cantSplit/>
        </w:trPr>
        <w:tc>
          <w:tcPr>
            <w:tcW w:w="709" w:type="dxa"/>
            <w:shd w:val="clear" w:color="auto" w:fill="auto"/>
          </w:tcPr>
          <w:p w14:paraId="5C95220B" w14:textId="77777777" w:rsidR="004F01E2" w:rsidRPr="00F25DFF" w:rsidRDefault="004F01E2" w:rsidP="00017B0B">
            <w:pPr>
              <w:pStyle w:val="Table8ptHeading-ASDEFCON"/>
            </w:pPr>
            <w:r w:rsidRPr="00F25DFF">
              <w:t>Ref</w:t>
            </w:r>
          </w:p>
        </w:tc>
        <w:tc>
          <w:tcPr>
            <w:tcW w:w="7490" w:type="dxa"/>
            <w:shd w:val="clear" w:color="auto" w:fill="auto"/>
          </w:tcPr>
          <w:p w14:paraId="6047D4E3" w14:textId="77777777" w:rsidR="004F01E2" w:rsidRPr="00F25DFF" w:rsidRDefault="004F01E2" w:rsidP="00017B0B">
            <w:pPr>
              <w:pStyle w:val="Table8ptHeading-ASDEFCON"/>
            </w:pPr>
            <w:r w:rsidRPr="00F25DFF">
              <w:t>Description</w:t>
            </w:r>
          </w:p>
        </w:tc>
      </w:tr>
      <w:tr w:rsidR="004F01E2" w:rsidRPr="003B4D5A" w14:paraId="23EABA0F" w14:textId="77777777" w:rsidTr="001F3F89">
        <w:trPr>
          <w:cantSplit/>
        </w:trPr>
        <w:tc>
          <w:tcPr>
            <w:tcW w:w="709" w:type="dxa"/>
            <w:shd w:val="clear" w:color="auto" w:fill="auto"/>
          </w:tcPr>
          <w:p w14:paraId="4094471D" w14:textId="77777777" w:rsidR="004F01E2" w:rsidRPr="00F25DFF" w:rsidRDefault="004F01E2" w:rsidP="00017B0B">
            <w:pPr>
              <w:pStyle w:val="Table8ptText-ASDEFCON"/>
            </w:pPr>
            <w:r w:rsidRPr="00F25DFF">
              <w:t>P</w:t>
            </w:r>
            <w:r>
              <w:rPr>
                <w:vertAlign w:val="subscript"/>
              </w:rPr>
              <w:t>1</w:t>
            </w:r>
          </w:p>
        </w:tc>
        <w:tc>
          <w:tcPr>
            <w:tcW w:w="7490" w:type="dxa"/>
            <w:shd w:val="clear" w:color="auto" w:fill="auto"/>
          </w:tcPr>
          <w:p w14:paraId="1378FF66" w14:textId="05E00ADB" w:rsidR="004F01E2" w:rsidRPr="00F25DFF" w:rsidRDefault="004F01E2" w:rsidP="00411E3B">
            <w:pPr>
              <w:pStyle w:val="Table8ptText-ASDEFCON"/>
            </w:pPr>
            <w:r>
              <w:t xml:space="preserve">the </w:t>
            </w:r>
            <w:r w:rsidR="00480606">
              <w:t xml:space="preserve">new </w:t>
            </w:r>
            <w:r>
              <w:t>(ie, adjusted) price</w:t>
            </w:r>
            <w:r w:rsidR="00DB112B">
              <w:t xml:space="preserve"> to </w:t>
            </w:r>
            <w:r w:rsidR="00092CD1">
              <w:t>apply</w:t>
            </w:r>
            <w:r w:rsidR="00DB112B">
              <w:t xml:space="preserve"> </w:t>
            </w:r>
            <w:r w:rsidR="00092CD1">
              <w:t>on and from the Adjustment Date</w:t>
            </w:r>
            <w:r>
              <w:t>.</w:t>
            </w:r>
          </w:p>
        </w:tc>
      </w:tr>
      <w:tr w:rsidR="004F01E2" w:rsidRPr="003B4D5A" w14:paraId="4303811C" w14:textId="77777777" w:rsidTr="001F3F89">
        <w:trPr>
          <w:cantSplit/>
        </w:trPr>
        <w:tc>
          <w:tcPr>
            <w:tcW w:w="709" w:type="dxa"/>
            <w:shd w:val="clear" w:color="auto" w:fill="auto"/>
          </w:tcPr>
          <w:p w14:paraId="7EF0884B" w14:textId="77777777" w:rsidR="004F01E2" w:rsidRPr="003B4D5A" w:rsidRDefault="004F01E2" w:rsidP="00017B0B">
            <w:pPr>
              <w:pStyle w:val="Table8ptText-ASDEFCON"/>
            </w:pPr>
            <w:r w:rsidRPr="003B4D5A">
              <w:t>P</w:t>
            </w:r>
            <w:r w:rsidRPr="00A72DB1">
              <w:rPr>
                <w:vertAlign w:val="subscript"/>
              </w:rPr>
              <w:t>0</w:t>
            </w:r>
          </w:p>
        </w:tc>
        <w:tc>
          <w:tcPr>
            <w:tcW w:w="7490" w:type="dxa"/>
            <w:shd w:val="clear" w:color="auto" w:fill="auto"/>
          </w:tcPr>
          <w:p w14:paraId="6CA9A3F3" w14:textId="31861DB4" w:rsidR="004F01E2" w:rsidRPr="003B4D5A" w:rsidRDefault="004F01E2" w:rsidP="00C872A5">
            <w:pPr>
              <w:pStyle w:val="Table8ptText-ASDEFCON"/>
            </w:pPr>
            <w:r>
              <w:t>the price</w:t>
            </w:r>
            <w:r w:rsidR="0013351B">
              <w:t xml:space="preserve"> </w:t>
            </w:r>
            <w:r w:rsidR="00C872A5" w:rsidRPr="00C12BE8">
              <w:t xml:space="preserve">applicable </w:t>
            </w:r>
            <w:r w:rsidR="00C872A5" w:rsidRPr="00C12BE8">
              <w:rPr>
                <w:rFonts w:cs="Arial"/>
              </w:rPr>
              <w:t>immediately prior to the relevant Adjustment Date</w:t>
            </w:r>
            <w:r>
              <w:t>.</w:t>
            </w:r>
          </w:p>
        </w:tc>
      </w:tr>
      <w:tr w:rsidR="004F01E2" w:rsidRPr="00F25DFF" w14:paraId="35478D73" w14:textId="77777777" w:rsidTr="001F3F89">
        <w:trPr>
          <w:cantSplit/>
        </w:trPr>
        <w:tc>
          <w:tcPr>
            <w:tcW w:w="709" w:type="dxa"/>
            <w:shd w:val="clear" w:color="auto" w:fill="auto"/>
          </w:tcPr>
          <w:p w14:paraId="787CF54C" w14:textId="77777777" w:rsidR="004F01E2" w:rsidRPr="003B4D5A" w:rsidRDefault="004F01E2" w:rsidP="00017B0B">
            <w:pPr>
              <w:pStyle w:val="Table8ptText-ASDEFCON"/>
            </w:pPr>
            <w:r w:rsidRPr="003B4D5A">
              <w:t>Y</w:t>
            </w:r>
          </w:p>
        </w:tc>
        <w:tc>
          <w:tcPr>
            <w:tcW w:w="7490" w:type="dxa"/>
            <w:shd w:val="clear" w:color="auto" w:fill="auto"/>
          </w:tcPr>
          <w:p w14:paraId="6CDB548D" w14:textId="5A5E3CDB" w:rsidR="004F01E2" w:rsidRPr="00F25DFF" w:rsidRDefault="004F01E2" w:rsidP="00C872A5">
            <w:pPr>
              <w:pStyle w:val="Table8ptText-ASDEFCON"/>
            </w:pPr>
            <w:r>
              <w:t xml:space="preserve">the </w:t>
            </w:r>
            <w:r w:rsidR="00D676E9">
              <w:t>component of a price (</w:t>
            </w:r>
            <w:r w:rsidRPr="003B4D5A">
              <w:t>expressed as a decimal)</w:t>
            </w:r>
            <w:r w:rsidRPr="008243B5">
              <w:t xml:space="preserve"> </w:t>
            </w:r>
            <w:r w:rsidR="00C872A5">
              <w:t>specified in Annex F, which</w:t>
            </w:r>
            <w:r>
              <w:t xml:space="preserve"> is attributed to a labour index</w:t>
            </w:r>
            <w:r w:rsidR="00E5257C">
              <w:t xml:space="preserve"> </w:t>
            </w:r>
            <w:r w:rsidR="00C872A5">
              <w:t>series</w:t>
            </w:r>
            <w:r>
              <w:t>.</w:t>
            </w:r>
          </w:p>
        </w:tc>
      </w:tr>
      <w:tr w:rsidR="004F01E2" w:rsidRPr="003B4D5A" w14:paraId="1D89C7BD" w14:textId="77777777" w:rsidTr="001F3F89">
        <w:trPr>
          <w:cantSplit/>
        </w:trPr>
        <w:tc>
          <w:tcPr>
            <w:tcW w:w="709" w:type="dxa"/>
            <w:shd w:val="clear" w:color="auto" w:fill="auto"/>
          </w:tcPr>
          <w:p w14:paraId="150A41BB" w14:textId="77777777" w:rsidR="004F01E2" w:rsidRPr="00F25DFF" w:rsidRDefault="004F01E2" w:rsidP="00017B0B">
            <w:pPr>
              <w:pStyle w:val="Table8ptText-ASDEFCON"/>
            </w:pPr>
            <w:r w:rsidRPr="00F25DFF">
              <w:t>L</w:t>
            </w:r>
            <w:r>
              <w:rPr>
                <w:vertAlign w:val="subscript"/>
              </w:rPr>
              <w:t>1</w:t>
            </w:r>
          </w:p>
        </w:tc>
        <w:tc>
          <w:tcPr>
            <w:tcW w:w="7490" w:type="dxa"/>
            <w:shd w:val="clear" w:color="auto" w:fill="auto"/>
          </w:tcPr>
          <w:p w14:paraId="45886B50" w14:textId="05D2AAFE" w:rsidR="004F01E2" w:rsidRPr="00F25DFF" w:rsidRDefault="004F01E2" w:rsidP="00C872A5">
            <w:pPr>
              <w:pStyle w:val="Table8ptText-ASDEFCON"/>
            </w:pPr>
            <w:r>
              <w:t xml:space="preserve">the </w:t>
            </w:r>
            <w:r w:rsidRPr="00F25DFF">
              <w:t xml:space="preserve">labour index </w:t>
            </w:r>
            <w:r>
              <w:t>value</w:t>
            </w:r>
            <w:r w:rsidRPr="00F25DFF">
              <w:t xml:space="preserve"> </w:t>
            </w:r>
            <w:r>
              <w:t>(number)</w:t>
            </w:r>
            <w:r w:rsidR="004037C6">
              <w:t xml:space="preserve"> for a labour index </w:t>
            </w:r>
            <w:r w:rsidR="006146E2">
              <w:t xml:space="preserve">series </w:t>
            </w:r>
            <w:r w:rsidR="008F0220">
              <w:t xml:space="preserve">(L) </w:t>
            </w:r>
            <w:r w:rsidR="004037C6">
              <w:t xml:space="preserve">specified in Annex </w:t>
            </w:r>
            <w:r w:rsidR="00C872A5">
              <w:t>F,</w:t>
            </w:r>
            <w:r w:rsidR="004037C6">
              <w:t xml:space="preserve"> </w:t>
            </w:r>
            <w:r w:rsidR="00C872A5">
              <w:t>a</w:t>
            </w:r>
            <w:r w:rsidR="00D676E9">
              <w:t xml:space="preserve">s </w:t>
            </w:r>
            <w:r w:rsidR="0044727C">
              <w:t xml:space="preserve">published </w:t>
            </w:r>
            <w:r w:rsidR="00C872A5">
              <w:t>for the quarter preceding the quarter containing</w:t>
            </w:r>
            <w:r w:rsidR="0044727C">
              <w:t xml:space="preserve"> </w:t>
            </w:r>
            <w:r>
              <w:t>the</w:t>
            </w:r>
            <w:r w:rsidR="0044727C">
              <w:t xml:space="preserve"> </w:t>
            </w:r>
            <w:r w:rsidR="00C872A5">
              <w:t xml:space="preserve">relevant </w:t>
            </w:r>
            <w:r w:rsidR="0044727C">
              <w:t>Adjustment Date</w:t>
            </w:r>
            <w:r>
              <w:t>.</w:t>
            </w:r>
          </w:p>
        </w:tc>
      </w:tr>
      <w:tr w:rsidR="004F01E2" w:rsidRPr="00F25DFF" w14:paraId="5251D15F" w14:textId="77777777" w:rsidTr="001F3F89">
        <w:trPr>
          <w:cantSplit/>
        </w:trPr>
        <w:tc>
          <w:tcPr>
            <w:tcW w:w="709" w:type="dxa"/>
            <w:shd w:val="clear" w:color="auto" w:fill="auto"/>
          </w:tcPr>
          <w:p w14:paraId="49C051CF" w14:textId="77777777" w:rsidR="004F01E2" w:rsidRPr="00F25DFF" w:rsidRDefault="004F01E2" w:rsidP="00017B0B">
            <w:pPr>
              <w:pStyle w:val="Table8ptText-ASDEFCON"/>
            </w:pPr>
            <w:r w:rsidRPr="003B4D5A">
              <w:t>L</w:t>
            </w:r>
            <w:r w:rsidRPr="008C70A0">
              <w:rPr>
                <w:vertAlign w:val="subscript"/>
              </w:rPr>
              <w:t>0</w:t>
            </w:r>
          </w:p>
        </w:tc>
        <w:tc>
          <w:tcPr>
            <w:tcW w:w="7490" w:type="dxa"/>
            <w:shd w:val="clear" w:color="auto" w:fill="auto"/>
          </w:tcPr>
          <w:p w14:paraId="720F5C38" w14:textId="4CDB1EA0" w:rsidR="004F01E2" w:rsidRPr="00F25DFF" w:rsidRDefault="004F01E2" w:rsidP="00A00AC5">
            <w:pPr>
              <w:pStyle w:val="Table8ptText-ASDEFCON"/>
            </w:pPr>
            <w:r>
              <w:t xml:space="preserve">the </w:t>
            </w:r>
            <w:r w:rsidRPr="008243B5">
              <w:t xml:space="preserve">labour </w:t>
            </w:r>
            <w:r w:rsidRPr="00F25DFF">
              <w:t xml:space="preserve">index </w:t>
            </w:r>
            <w:r>
              <w:t>value</w:t>
            </w:r>
            <w:r w:rsidRPr="00F25DFF">
              <w:t xml:space="preserve"> </w:t>
            </w:r>
            <w:r>
              <w:t xml:space="preserve">(number) </w:t>
            </w:r>
            <w:r w:rsidR="00411E3B">
              <w:t xml:space="preserve">for </w:t>
            </w:r>
            <w:r w:rsidR="00A00AC5">
              <w:t>a</w:t>
            </w:r>
            <w:r w:rsidR="00411E3B">
              <w:t xml:space="preserve"> </w:t>
            </w:r>
            <w:r w:rsidR="00411E3B" w:rsidRPr="008243B5">
              <w:t xml:space="preserve">labour </w:t>
            </w:r>
            <w:r w:rsidR="00411E3B" w:rsidRPr="00F25DFF">
              <w:t>index</w:t>
            </w:r>
            <w:r w:rsidR="00411E3B">
              <w:t xml:space="preserve"> series (L)</w:t>
            </w:r>
            <w:r w:rsidR="00A00AC5">
              <w:t xml:space="preserve"> specified in Annex F that was</w:t>
            </w:r>
            <w:r w:rsidR="00411E3B" w:rsidRPr="00F25DFF">
              <w:t xml:space="preserve"> </w:t>
            </w:r>
            <w:r w:rsidR="00B6700D">
              <w:t xml:space="preserve">used </w:t>
            </w:r>
            <w:r>
              <w:t xml:space="preserve">for the previous </w:t>
            </w:r>
            <w:r w:rsidR="00CE74B4">
              <w:t xml:space="preserve">price </w:t>
            </w:r>
            <w:r w:rsidR="00BA3E42">
              <w:t xml:space="preserve">adjustment </w:t>
            </w:r>
            <w:r>
              <w:t>or</w:t>
            </w:r>
            <w:r w:rsidR="00A00AC5">
              <w:t>, in respect of the first price adjustment, the published index value for</w:t>
            </w:r>
            <w:r>
              <w:t xml:space="preserve"> </w:t>
            </w:r>
            <w:r w:rsidR="00A00AC5" w:rsidRPr="00C12BE8">
              <w:t xml:space="preserve">the quarter preceding the quarter containing </w:t>
            </w:r>
            <w:r w:rsidRPr="00394F9F">
              <w:t>the Base Date</w:t>
            </w:r>
            <w:r>
              <w:t>.</w:t>
            </w:r>
          </w:p>
        </w:tc>
      </w:tr>
      <w:tr w:rsidR="004F01E2" w:rsidRPr="00F25DFF" w14:paraId="50EBF458" w14:textId="77777777" w:rsidTr="001F3F89">
        <w:trPr>
          <w:cantSplit/>
        </w:trPr>
        <w:tc>
          <w:tcPr>
            <w:tcW w:w="709" w:type="dxa"/>
            <w:shd w:val="clear" w:color="auto" w:fill="auto"/>
          </w:tcPr>
          <w:p w14:paraId="27D9FB43" w14:textId="77777777" w:rsidR="004F01E2" w:rsidRPr="00F25DFF" w:rsidRDefault="004F01E2" w:rsidP="00017B0B">
            <w:pPr>
              <w:pStyle w:val="Table8ptText-ASDEFCON"/>
            </w:pPr>
            <w:r w:rsidRPr="00F25DFF">
              <w:t>Z</w:t>
            </w:r>
          </w:p>
        </w:tc>
        <w:tc>
          <w:tcPr>
            <w:tcW w:w="7490" w:type="dxa"/>
            <w:shd w:val="clear" w:color="auto" w:fill="auto"/>
          </w:tcPr>
          <w:p w14:paraId="7088F355" w14:textId="084D441C" w:rsidR="004F01E2" w:rsidRPr="00F25DFF" w:rsidRDefault="004F01E2" w:rsidP="00A00AC5">
            <w:pPr>
              <w:pStyle w:val="Table8ptText-ASDEFCON"/>
            </w:pPr>
            <w:r>
              <w:t xml:space="preserve">the </w:t>
            </w:r>
            <w:r w:rsidR="00D676E9">
              <w:t>component of a price (</w:t>
            </w:r>
            <w:r w:rsidRPr="008243B5">
              <w:t>expressed as a decimal)</w:t>
            </w:r>
            <w:r w:rsidR="00A00AC5">
              <w:t xml:space="preserve"> specified in Annex F,</w:t>
            </w:r>
            <w:r w:rsidRPr="008243B5">
              <w:t xml:space="preserve"> </w:t>
            </w:r>
            <w:r w:rsidR="00A00AC5">
              <w:t>which</w:t>
            </w:r>
            <w:r>
              <w:t xml:space="preserve"> is attributed to a materials index</w:t>
            </w:r>
            <w:r w:rsidR="00A00AC5">
              <w:t xml:space="preserve"> series</w:t>
            </w:r>
            <w:r>
              <w:t>.</w:t>
            </w:r>
          </w:p>
        </w:tc>
      </w:tr>
      <w:tr w:rsidR="004F01E2" w:rsidRPr="00F25DFF" w14:paraId="60F55751" w14:textId="77777777" w:rsidTr="001F3F89">
        <w:trPr>
          <w:cantSplit/>
        </w:trPr>
        <w:tc>
          <w:tcPr>
            <w:tcW w:w="709" w:type="dxa"/>
            <w:shd w:val="clear" w:color="auto" w:fill="auto"/>
          </w:tcPr>
          <w:p w14:paraId="0709C68A" w14:textId="77777777" w:rsidR="004F01E2" w:rsidRPr="00F25DFF" w:rsidRDefault="004F01E2" w:rsidP="00017B0B">
            <w:pPr>
              <w:pStyle w:val="Table8ptText-ASDEFCON"/>
            </w:pPr>
            <w:r w:rsidRPr="008243B5">
              <w:t>M</w:t>
            </w:r>
            <w:r>
              <w:rPr>
                <w:vertAlign w:val="subscript"/>
              </w:rPr>
              <w:t>1</w:t>
            </w:r>
          </w:p>
        </w:tc>
        <w:tc>
          <w:tcPr>
            <w:tcW w:w="7490" w:type="dxa"/>
            <w:shd w:val="clear" w:color="auto" w:fill="auto"/>
          </w:tcPr>
          <w:p w14:paraId="1D124532" w14:textId="15393C72" w:rsidR="004F01E2" w:rsidRPr="00720D4B" w:rsidRDefault="004F01E2" w:rsidP="00A00AC5">
            <w:pPr>
              <w:pStyle w:val="Table8ptText-ASDEFCON"/>
            </w:pPr>
            <w:r>
              <w:t xml:space="preserve">the </w:t>
            </w:r>
            <w:r w:rsidRPr="008243B5">
              <w:t>materials index</w:t>
            </w:r>
            <w:r>
              <w:t xml:space="preserve"> value (n</w:t>
            </w:r>
            <w:r w:rsidRPr="008243B5">
              <w:t>umber</w:t>
            </w:r>
            <w:r>
              <w:t xml:space="preserve">) </w:t>
            </w:r>
            <w:r w:rsidR="004037C6">
              <w:t xml:space="preserve">for a materials index </w:t>
            </w:r>
            <w:r w:rsidR="006146E2">
              <w:t xml:space="preserve">series </w:t>
            </w:r>
            <w:r w:rsidR="007F4D48">
              <w:t xml:space="preserve">(M) </w:t>
            </w:r>
            <w:r w:rsidR="004037C6">
              <w:t xml:space="preserve">specified in Annex </w:t>
            </w:r>
            <w:r w:rsidR="00A00AC5">
              <w:t>F</w:t>
            </w:r>
            <w:r w:rsidR="004037C6">
              <w:t xml:space="preserve">, </w:t>
            </w:r>
            <w:r w:rsidR="00A00AC5">
              <w:t xml:space="preserve">as </w:t>
            </w:r>
            <w:r w:rsidR="0044727C">
              <w:t xml:space="preserve">published </w:t>
            </w:r>
            <w:r w:rsidR="00A00AC5" w:rsidRPr="00C12BE8">
              <w:t xml:space="preserve">for the quarter preceding the quarter containing </w:t>
            </w:r>
            <w:r>
              <w:t xml:space="preserve">the </w:t>
            </w:r>
            <w:r w:rsidR="00A00AC5" w:rsidRPr="00C12BE8">
              <w:t xml:space="preserve">relevant </w:t>
            </w:r>
            <w:r w:rsidR="0044727C">
              <w:t>Adjustment Date</w:t>
            </w:r>
            <w:r>
              <w:t>.</w:t>
            </w:r>
          </w:p>
        </w:tc>
      </w:tr>
      <w:tr w:rsidR="004F01E2" w:rsidRPr="00F25DFF" w14:paraId="027A20C5" w14:textId="77777777" w:rsidTr="001F3F89">
        <w:trPr>
          <w:cantSplit/>
        </w:trPr>
        <w:tc>
          <w:tcPr>
            <w:tcW w:w="709" w:type="dxa"/>
            <w:shd w:val="clear" w:color="auto" w:fill="auto"/>
          </w:tcPr>
          <w:p w14:paraId="3F23BB8E" w14:textId="77777777" w:rsidR="004F01E2" w:rsidRPr="00F25DFF" w:rsidRDefault="004F01E2" w:rsidP="00017B0B">
            <w:pPr>
              <w:pStyle w:val="Table8ptText-ASDEFCON"/>
            </w:pPr>
            <w:r w:rsidRPr="008243B5">
              <w:t>M</w:t>
            </w:r>
            <w:r>
              <w:rPr>
                <w:vertAlign w:val="subscript"/>
              </w:rPr>
              <w:t>0</w:t>
            </w:r>
          </w:p>
        </w:tc>
        <w:tc>
          <w:tcPr>
            <w:tcW w:w="7490" w:type="dxa"/>
            <w:shd w:val="clear" w:color="auto" w:fill="auto"/>
          </w:tcPr>
          <w:p w14:paraId="58DF1D76" w14:textId="42724388" w:rsidR="004F01E2" w:rsidRPr="00F25DFF" w:rsidRDefault="006204B9" w:rsidP="00CE74B4">
            <w:pPr>
              <w:pStyle w:val="Table8ptText-ASDEFCON"/>
            </w:pPr>
            <w:r>
              <w:t xml:space="preserve">the </w:t>
            </w:r>
            <w:r w:rsidR="004F01E2" w:rsidRPr="008243B5">
              <w:t xml:space="preserve">materials index </w:t>
            </w:r>
            <w:r w:rsidR="004F01E2">
              <w:t xml:space="preserve">value (number) </w:t>
            </w:r>
            <w:r w:rsidR="00880A76">
              <w:t xml:space="preserve">for the </w:t>
            </w:r>
            <w:r w:rsidRPr="008243B5">
              <w:t>materials index</w:t>
            </w:r>
            <w:r w:rsidR="00BA3E42">
              <w:t xml:space="preserve"> series</w:t>
            </w:r>
            <w:r w:rsidR="00880A76">
              <w:t xml:space="preserve"> (M)</w:t>
            </w:r>
            <w:r w:rsidR="00A00AC5">
              <w:t xml:space="preserve"> specified in Annex F that was</w:t>
            </w:r>
            <w:r w:rsidRPr="008243B5">
              <w:t xml:space="preserve"> </w:t>
            </w:r>
            <w:r w:rsidR="00B6700D">
              <w:t xml:space="preserve">used </w:t>
            </w:r>
            <w:r w:rsidR="004F01E2">
              <w:t xml:space="preserve">for the previous </w:t>
            </w:r>
            <w:r w:rsidR="00CE74B4">
              <w:t xml:space="preserve">price </w:t>
            </w:r>
            <w:r w:rsidR="00BA3E42">
              <w:t>adjustment</w:t>
            </w:r>
            <w:r w:rsidR="004F01E2">
              <w:t xml:space="preserve"> or</w:t>
            </w:r>
            <w:r w:rsidR="00CE74B4">
              <w:t>,</w:t>
            </w:r>
            <w:r w:rsidR="004F01E2">
              <w:t xml:space="preserve"> </w:t>
            </w:r>
            <w:r w:rsidR="00CE74B4" w:rsidRPr="00C12BE8">
              <w:t>in respect of the first price adjustment, the published index value for the quarter preceding the quarter containing</w:t>
            </w:r>
            <w:r w:rsidR="00CE74B4" w:rsidDel="00880A76">
              <w:t xml:space="preserve"> </w:t>
            </w:r>
            <w:r w:rsidR="004F01E2">
              <w:t>the Base Date.</w:t>
            </w:r>
          </w:p>
        </w:tc>
      </w:tr>
    </w:tbl>
    <w:p w14:paraId="2247E46F" w14:textId="77777777" w:rsidR="004F01E2" w:rsidRDefault="004F01E2" w:rsidP="00017B0B">
      <w:pPr>
        <w:pStyle w:val="ASDEFCONOptionSpace"/>
      </w:pPr>
    </w:p>
    <w:p w14:paraId="3B133903" w14:textId="7AC4AF9E" w:rsidR="004F01E2" w:rsidRDefault="004F01E2" w:rsidP="00017B0B">
      <w:pPr>
        <w:pStyle w:val="COTCOCLV3-ASDEFCON"/>
        <w:numPr>
          <w:ilvl w:val="0"/>
          <w:numId w:val="0"/>
        </w:numPr>
        <w:ind w:left="851"/>
        <w:jc w:val="left"/>
      </w:pPr>
      <w:r>
        <w:t>and where, for each price</w:t>
      </w:r>
      <w:r w:rsidR="00D676E9">
        <w:t xml:space="preserve"> being adjusted</w:t>
      </w:r>
      <w:r>
        <w:t>, the sum of the components attributed to labour and materials equals one (ie, Y + Z = 1).</w:t>
      </w:r>
    </w:p>
    <w:p w14:paraId="344EB5BB" w14:textId="38281AB6" w:rsidR="00017B0B" w:rsidRDefault="00017B0B" w:rsidP="002F432E">
      <w:pPr>
        <w:pStyle w:val="ASDEFCONOptionSpace"/>
      </w:pPr>
    </w:p>
    <w:p w14:paraId="6B088626" w14:textId="77777777" w:rsidR="00054036" w:rsidRDefault="00054036" w:rsidP="002F432E">
      <w:pPr>
        <w:pStyle w:val="ASDEFCONOptionSpace"/>
      </w:pPr>
    </w:p>
    <w:p w14:paraId="02CF10BE" w14:textId="6476918B" w:rsidR="00017B0B" w:rsidRDefault="00017B0B" w:rsidP="00017B0B">
      <w:pPr>
        <w:pStyle w:val="COTCOCLV3-ASDEFCON"/>
      </w:pPr>
      <w:r>
        <w:t xml:space="preserve">For labour rates </w:t>
      </w:r>
      <w:r w:rsidR="0047073D">
        <w:t xml:space="preserve">used when quoting </w:t>
      </w:r>
      <w:r>
        <w:t xml:space="preserve">for S&amp;Q Services </w:t>
      </w:r>
      <w:r w:rsidR="0047073D">
        <w:t>(</w:t>
      </w:r>
      <w:r>
        <w:t xml:space="preserve">in Annex </w:t>
      </w:r>
      <w:r w:rsidR="00CE2C8B">
        <w:t>E</w:t>
      </w:r>
      <w:r w:rsidR="0047073D">
        <w:t>)</w:t>
      </w:r>
      <w:r>
        <w:t>, the following formula shall be applied in accordance with clause 7.</w:t>
      </w:r>
      <w:r w:rsidR="00D5657E">
        <w:t>3</w:t>
      </w:r>
      <w:r>
        <w:t xml:space="preserve"> of the </w:t>
      </w:r>
      <w:r w:rsidR="00054036">
        <w:t>COC</w:t>
      </w:r>
      <w:r>
        <w:t>:</w:t>
      </w:r>
    </w:p>
    <w:p w14:paraId="5CC1FF32" w14:textId="66922AF2" w:rsidR="00017B0B" w:rsidRPr="002F432E" w:rsidRDefault="00711312" w:rsidP="00017B0B">
      <w:pPr>
        <w:pStyle w:val="ASDEFCONNormal"/>
        <w:rPr>
          <w:sz w:val="28"/>
          <w:szCs w:val="28"/>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1</m:t>
              </m:r>
            </m:sub>
          </m:sSub>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L</m:t>
                  </m:r>
                </m:e>
                <m:sub>
                  <m:r>
                    <m:rPr>
                      <m:sty m:val="p"/>
                    </m:rPr>
                    <w:rPr>
                      <w:rFonts w:ascii="Cambria Math" w:hAnsi="Cambria Math"/>
                      <w:sz w:val="24"/>
                      <w:szCs w:val="24"/>
                    </w:rPr>
                    <m:t>1</m:t>
                  </m:r>
                </m:sub>
              </m:sSub>
            </m:num>
            <m:den>
              <m:sSub>
                <m:sSubPr>
                  <m:ctrlPr>
                    <w:rPr>
                      <w:rFonts w:ascii="Cambria Math" w:hAnsi="Cambria Math"/>
                      <w:sz w:val="24"/>
                      <w:szCs w:val="24"/>
                    </w:rPr>
                  </m:ctrlPr>
                </m:sSubPr>
                <m:e>
                  <m:r>
                    <w:rPr>
                      <w:rFonts w:ascii="Cambria Math" w:hAnsi="Cambria Math"/>
                      <w:sz w:val="24"/>
                      <w:szCs w:val="24"/>
                    </w:rPr>
                    <m:t>L</m:t>
                  </m:r>
                </m:e>
                <m:sub>
                  <m:r>
                    <m:rPr>
                      <m:sty m:val="p"/>
                    </m:rPr>
                    <w:rPr>
                      <w:rFonts w:ascii="Cambria Math" w:hAnsi="Cambria Math"/>
                      <w:sz w:val="24"/>
                      <w:szCs w:val="24"/>
                    </w:rPr>
                    <m:t>0</m:t>
                  </m:r>
                </m:sub>
              </m:sSub>
            </m:den>
          </m:f>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0</m:t>
              </m:r>
            </m:sub>
          </m:sSub>
        </m:oMath>
      </m:oMathPara>
    </w:p>
    <w:p w14:paraId="19680785" w14:textId="637106DA" w:rsidR="00017B0B" w:rsidRDefault="0047073D" w:rsidP="00017B0B">
      <w:pPr>
        <w:pStyle w:val="COTCOCLV3NONUM-ASDEFCON"/>
      </w:pPr>
      <w:r>
        <w:t>where</w:t>
      </w:r>
      <w:r w:rsidR="00DB112B">
        <w:t>, for each applicable source currency</w:t>
      </w:r>
      <w:r w:rsidR="00017B0B">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484"/>
      </w:tblGrid>
      <w:tr w:rsidR="00017B0B" w:rsidRPr="00F25DFF" w14:paraId="645A38EA" w14:textId="77777777" w:rsidTr="00007864">
        <w:trPr>
          <w:cantSplit/>
        </w:trPr>
        <w:tc>
          <w:tcPr>
            <w:tcW w:w="709" w:type="dxa"/>
            <w:shd w:val="clear" w:color="auto" w:fill="auto"/>
          </w:tcPr>
          <w:p w14:paraId="46F54871" w14:textId="77777777" w:rsidR="00017B0B" w:rsidRPr="00F25DFF" w:rsidRDefault="00017B0B" w:rsidP="0047746F">
            <w:pPr>
              <w:pStyle w:val="Table8ptHeading-ASDEFCON"/>
            </w:pPr>
            <w:r w:rsidRPr="00F25DFF">
              <w:t>Ref</w:t>
            </w:r>
          </w:p>
        </w:tc>
        <w:tc>
          <w:tcPr>
            <w:tcW w:w="7484" w:type="dxa"/>
            <w:shd w:val="clear" w:color="auto" w:fill="auto"/>
          </w:tcPr>
          <w:p w14:paraId="4AE8E9B2" w14:textId="77777777" w:rsidR="00017B0B" w:rsidRPr="00F25DFF" w:rsidRDefault="00017B0B" w:rsidP="0047746F">
            <w:pPr>
              <w:pStyle w:val="Table8ptHeading-ASDEFCON"/>
            </w:pPr>
            <w:r w:rsidRPr="00F25DFF">
              <w:t>Description</w:t>
            </w:r>
          </w:p>
        </w:tc>
      </w:tr>
      <w:tr w:rsidR="00017B0B" w:rsidRPr="003B4D5A" w14:paraId="739BF169" w14:textId="77777777" w:rsidTr="00007864">
        <w:trPr>
          <w:cantSplit/>
        </w:trPr>
        <w:tc>
          <w:tcPr>
            <w:tcW w:w="709" w:type="dxa"/>
            <w:shd w:val="clear" w:color="auto" w:fill="auto"/>
          </w:tcPr>
          <w:p w14:paraId="74464E62" w14:textId="10866B25" w:rsidR="00017B0B" w:rsidRPr="00F25DFF" w:rsidRDefault="00017B0B" w:rsidP="0047746F">
            <w:pPr>
              <w:pStyle w:val="Table8ptText-ASDEFCON"/>
            </w:pPr>
            <w:r w:rsidRPr="00F25DFF">
              <w:t>P</w:t>
            </w:r>
            <w:r w:rsidR="001F3F89">
              <w:rPr>
                <w:vertAlign w:val="subscript"/>
              </w:rPr>
              <w:t>1</w:t>
            </w:r>
          </w:p>
        </w:tc>
        <w:tc>
          <w:tcPr>
            <w:tcW w:w="7484" w:type="dxa"/>
            <w:shd w:val="clear" w:color="auto" w:fill="auto"/>
          </w:tcPr>
          <w:p w14:paraId="4839FC96" w14:textId="626C29A1" w:rsidR="00017B0B" w:rsidRPr="00F25DFF" w:rsidRDefault="00017B0B" w:rsidP="00BA3E42">
            <w:pPr>
              <w:pStyle w:val="Table8ptText-ASDEFCON"/>
            </w:pPr>
            <w:r>
              <w:t xml:space="preserve">the </w:t>
            </w:r>
            <w:r w:rsidR="00880A76">
              <w:t xml:space="preserve">new </w:t>
            </w:r>
            <w:r>
              <w:t xml:space="preserve">(ie, adjusted) </w:t>
            </w:r>
            <w:r w:rsidR="00E65C98">
              <w:t xml:space="preserve">labour </w:t>
            </w:r>
            <w:r>
              <w:t>rate for S&amp;Q Services</w:t>
            </w:r>
            <w:r w:rsidR="00880A76">
              <w:t>,</w:t>
            </w:r>
            <w:r w:rsidR="00E65C98">
              <w:t xml:space="preserve"> to apply </w:t>
            </w:r>
            <w:r w:rsidR="00BA3E42">
              <w:t xml:space="preserve">to new S&amp;Q Orders executed </w:t>
            </w:r>
            <w:r w:rsidR="00E65C98">
              <w:t>on and from the Adjustment Date</w:t>
            </w:r>
            <w:r>
              <w:t>.</w:t>
            </w:r>
          </w:p>
        </w:tc>
      </w:tr>
      <w:tr w:rsidR="00017B0B" w:rsidRPr="003B4D5A" w14:paraId="3187333C" w14:textId="77777777" w:rsidTr="00007864">
        <w:trPr>
          <w:cantSplit/>
        </w:trPr>
        <w:tc>
          <w:tcPr>
            <w:tcW w:w="709" w:type="dxa"/>
            <w:shd w:val="clear" w:color="auto" w:fill="auto"/>
          </w:tcPr>
          <w:p w14:paraId="40895111" w14:textId="77777777" w:rsidR="00017B0B" w:rsidRPr="003B4D5A" w:rsidRDefault="00017B0B" w:rsidP="0047746F">
            <w:pPr>
              <w:pStyle w:val="Table8ptText-ASDEFCON"/>
            </w:pPr>
            <w:r w:rsidRPr="003B4D5A">
              <w:t>P</w:t>
            </w:r>
            <w:r w:rsidRPr="00A72DB1">
              <w:rPr>
                <w:vertAlign w:val="subscript"/>
              </w:rPr>
              <w:t>0</w:t>
            </w:r>
          </w:p>
        </w:tc>
        <w:tc>
          <w:tcPr>
            <w:tcW w:w="7484" w:type="dxa"/>
            <w:shd w:val="clear" w:color="auto" w:fill="auto"/>
          </w:tcPr>
          <w:p w14:paraId="6EF7BFD5" w14:textId="6215438A" w:rsidR="00017B0B" w:rsidRPr="003B4D5A" w:rsidRDefault="00017B0B" w:rsidP="00CE74B4">
            <w:pPr>
              <w:pStyle w:val="Table8ptText-ASDEFCON"/>
            </w:pPr>
            <w:r>
              <w:t xml:space="preserve">the </w:t>
            </w:r>
            <w:r w:rsidR="00E65C98">
              <w:t xml:space="preserve">labour </w:t>
            </w:r>
            <w:r>
              <w:t>rate for S&amp;Q Services</w:t>
            </w:r>
            <w:r w:rsidR="00CE74B4">
              <w:t>,</w:t>
            </w:r>
            <w:r>
              <w:t xml:space="preserve"> </w:t>
            </w:r>
            <w:r w:rsidR="00E65C98">
              <w:t xml:space="preserve">as specified in Annex </w:t>
            </w:r>
            <w:r w:rsidR="00CE2C8B">
              <w:t>E</w:t>
            </w:r>
            <w:r w:rsidR="00CE74B4">
              <w:t>,</w:t>
            </w:r>
            <w:r w:rsidR="00C24A14">
              <w:t xml:space="preserve"> </w:t>
            </w:r>
            <w:r w:rsidR="00CE74B4" w:rsidRPr="00C12BE8">
              <w:rPr>
                <w:rFonts w:cs="Arial"/>
              </w:rPr>
              <w:t>immediately prior to the relevant Adjustment Date</w:t>
            </w:r>
            <w:r>
              <w:t>.</w:t>
            </w:r>
          </w:p>
        </w:tc>
      </w:tr>
      <w:tr w:rsidR="00017B0B" w:rsidRPr="003B4D5A" w14:paraId="6CC3A648" w14:textId="77777777" w:rsidTr="00007864">
        <w:trPr>
          <w:cantSplit/>
        </w:trPr>
        <w:tc>
          <w:tcPr>
            <w:tcW w:w="709" w:type="dxa"/>
            <w:shd w:val="clear" w:color="auto" w:fill="auto"/>
          </w:tcPr>
          <w:p w14:paraId="2AC54B28" w14:textId="075143A1" w:rsidR="00017B0B" w:rsidRPr="00F25DFF" w:rsidRDefault="00017B0B" w:rsidP="0047746F">
            <w:pPr>
              <w:pStyle w:val="Table8ptText-ASDEFCON"/>
            </w:pPr>
            <w:r w:rsidRPr="00F25DFF">
              <w:t>L</w:t>
            </w:r>
            <w:r w:rsidR="001F3F89">
              <w:rPr>
                <w:vertAlign w:val="subscript"/>
              </w:rPr>
              <w:t>1</w:t>
            </w:r>
          </w:p>
        </w:tc>
        <w:tc>
          <w:tcPr>
            <w:tcW w:w="7484" w:type="dxa"/>
            <w:shd w:val="clear" w:color="auto" w:fill="auto"/>
          </w:tcPr>
          <w:p w14:paraId="6DE10682" w14:textId="7A5C6314" w:rsidR="00017B0B" w:rsidRPr="00F25DFF" w:rsidRDefault="00017B0B" w:rsidP="00CE74B4">
            <w:pPr>
              <w:pStyle w:val="Table8ptText-ASDEFCON"/>
            </w:pPr>
            <w:r>
              <w:t xml:space="preserve">the </w:t>
            </w:r>
            <w:r w:rsidR="00E65C98">
              <w:t xml:space="preserve">labour index </w:t>
            </w:r>
            <w:r>
              <w:t>value</w:t>
            </w:r>
            <w:r w:rsidRPr="00F25DFF">
              <w:t xml:space="preserve"> </w:t>
            </w:r>
            <w:r>
              <w:t xml:space="preserve">(number) for </w:t>
            </w:r>
            <w:r w:rsidR="004037C6">
              <w:t>a</w:t>
            </w:r>
            <w:r>
              <w:t xml:space="preserve"> labour index</w:t>
            </w:r>
            <w:r w:rsidR="004037C6">
              <w:t xml:space="preserve"> </w:t>
            </w:r>
            <w:r w:rsidR="006146E2">
              <w:t xml:space="preserve">series </w:t>
            </w:r>
            <w:r w:rsidR="00880A76">
              <w:t xml:space="preserve">(L) </w:t>
            </w:r>
            <w:r w:rsidR="004037C6">
              <w:t xml:space="preserve">specified in Annex </w:t>
            </w:r>
            <w:r w:rsidR="00CE2C8B">
              <w:t>F</w:t>
            </w:r>
            <w:r w:rsidR="004037C6">
              <w:t>,</w:t>
            </w:r>
            <w:r>
              <w:t xml:space="preserve"> </w:t>
            </w:r>
            <w:r w:rsidR="00CE74B4">
              <w:t>as</w:t>
            </w:r>
            <w:r w:rsidR="004037C6">
              <w:t xml:space="preserve"> published </w:t>
            </w:r>
            <w:r w:rsidR="00CE74B4">
              <w:t xml:space="preserve">for the quarter preceding the quarter containing </w:t>
            </w:r>
            <w:r w:rsidR="004037C6">
              <w:t>the</w:t>
            </w:r>
            <w:r w:rsidR="00CE74B4">
              <w:t xml:space="preserve"> relevant</w:t>
            </w:r>
            <w:r w:rsidR="004037C6">
              <w:t xml:space="preserve"> Adjustment Date</w:t>
            </w:r>
            <w:r>
              <w:t>.</w:t>
            </w:r>
          </w:p>
        </w:tc>
      </w:tr>
      <w:tr w:rsidR="00017B0B" w:rsidRPr="00F25DFF" w14:paraId="03CB9BFF" w14:textId="77777777" w:rsidTr="00007864">
        <w:trPr>
          <w:cantSplit/>
        </w:trPr>
        <w:tc>
          <w:tcPr>
            <w:tcW w:w="709" w:type="dxa"/>
            <w:shd w:val="clear" w:color="auto" w:fill="auto"/>
          </w:tcPr>
          <w:p w14:paraId="28CEF824" w14:textId="77777777" w:rsidR="00017B0B" w:rsidRPr="00F25DFF" w:rsidRDefault="00017B0B" w:rsidP="0047746F">
            <w:pPr>
              <w:pStyle w:val="Table8ptText-ASDEFCON"/>
            </w:pPr>
            <w:r w:rsidRPr="003B4D5A">
              <w:t>L</w:t>
            </w:r>
            <w:r w:rsidRPr="008C70A0">
              <w:rPr>
                <w:vertAlign w:val="subscript"/>
              </w:rPr>
              <w:t>0</w:t>
            </w:r>
          </w:p>
        </w:tc>
        <w:tc>
          <w:tcPr>
            <w:tcW w:w="7484" w:type="dxa"/>
            <w:shd w:val="clear" w:color="auto" w:fill="auto"/>
          </w:tcPr>
          <w:p w14:paraId="27124AC8" w14:textId="2F4F938E" w:rsidR="00017B0B" w:rsidRPr="00F25DFF" w:rsidRDefault="00017B0B" w:rsidP="00DB5171">
            <w:pPr>
              <w:pStyle w:val="Table8ptText-ASDEFCON"/>
            </w:pPr>
            <w:r>
              <w:t xml:space="preserve">the </w:t>
            </w:r>
            <w:r w:rsidR="003468D5">
              <w:t xml:space="preserve">labour index </w:t>
            </w:r>
            <w:r>
              <w:t>value</w:t>
            </w:r>
            <w:r w:rsidRPr="00F25DFF">
              <w:t xml:space="preserve"> </w:t>
            </w:r>
            <w:r w:rsidR="003468D5">
              <w:t>(number)</w:t>
            </w:r>
            <w:r w:rsidR="00880A76">
              <w:t xml:space="preserve"> for </w:t>
            </w:r>
            <w:r w:rsidR="00DB5171">
              <w:t>a</w:t>
            </w:r>
            <w:r w:rsidR="003468D5">
              <w:t xml:space="preserve"> </w:t>
            </w:r>
            <w:r w:rsidR="00880A76">
              <w:t>labour index series (L)</w:t>
            </w:r>
            <w:r w:rsidR="00CE74B4">
              <w:t xml:space="preserve"> specified in Annex F</w:t>
            </w:r>
            <w:r w:rsidR="00880A76">
              <w:t xml:space="preserve"> </w:t>
            </w:r>
            <w:r w:rsidR="00CE74B4">
              <w:t xml:space="preserve">that was </w:t>
            </w:r>
            <w:r w:rsidR="00B6700D">
              <w:t xml:space="preserve">used </w:t>
            </w:r>
            <w:r>
              <w:t xml:space="preserve">for the previous </w:t>
            </w:r>
            <w:r w:rsidR="00DB5171">
              <w:t xml:space="preserve">rates </w:t>
            </w:r>
            <w:r w:rsidR="006B784F">
              <w:t xml:space="preserve">adjustment </w:t>
            </w:r>
            <w:r>
              <w:t>or</w:t>
            </w:r>
            <w:r w:rsidR="00DB5171">
              <w:t xml:space="preserve">, </w:t>
            </w:r>
            <w:r w:rsidR="00DB5171" w:rsidRPr="00C12BE8">
              <w:t>in respect of the first rates adjustment, the published index value for the quarter preceding the quarter containing</w:t>
            </w:r>
            <w:r>
              <w:t xml:space="preserve"> </w:t>
            </w:r>
            <w:r w:rsidRPr="00394F9F">
              <w:t>the Base Date</w:t>
            </w:r>
            <w:r>
              <w:t>.</w:t>
            </w:r>
          </w:p>
        </w:tc>
      </w:tr>
    </w:tbl>
    <w:p w14:paraId="759599F8" w14:textId="5CE22243" w:rsidR="00017B0B" w:rsidRDefault="00017B0B" w:rsidP="002F432E">
      <w:pPr>
        <w:pStyle w:val="ASDEFCONOptionSpace"/>
      </w:pPr>
    </w:p>
    <w:p w14:paraId="6A493EC7" w14:textId="6E2ADA9C" w:rsidR="007E5181" w:rsidRDefault="007E5181" w:rsidP="002F432E">
      <w:pPr>
        <w:pStyle w:val="COTCOCLV2-ASDEFCON"/>
      </w:pPr>
      <w:r>
        <w:t>Indices</w:t>
      </w:r>
    </w:p>
    <w:p w14:paraId="58007FAD" w14:textId="200E3BE2" w:rsidR="007E5181" w:rsidRPr="002A29EA" w:rsidRDefault="007E5181" w:rsidP="007E5181">
      <w:pPr>
        <w:pStyle w:val="COTCOCLV3-ASDEFCON"/>
      </w:pPr>
      <w:r w:rsidRPr="002A29EA">
        <w:t>The</w:t>
      </w:r>
      <w:r>
        <w:t xml:space="preserve"> Australian and international</w:t>
      </w:r>
      <w:r w:rsidRPr="002A29EA">
        <w:t xml:space="preserve"> </w:t>
      </w:r>
      <w:r>
        <w:t>indices</w:t>
      </w:r>
      <w:r w:rsidRPr="002A29EA">
        <w:t xml:space="preserve"> </w:t>
      </w:r>
      <w:r>
        <w:t xml:space="preserve">for the Contract, and the proportions attributed to </w:t>
      </w:r>
      <w:r w:rsidRPr="002A29EA">
        <w:t xml:space="preserve">labour </w:t>
      </w:r>
      <w:r>
        <w:t xml:space="preserve">and materials </w:t>
      </w:r>
      <w:r w:rsidRPr="002A29EA">
        <w:t>component</w:t>
      </w:r>
      <w:r>
        <w:t xml:space="preserve">s of the prices, are detailed in Annex </w:t>
      </w:r>
      <w:r w:rsidR="00CE2C8B">
        <w:t>F</w:t>
      </w:r>
      <w:r w:rsidR="00C24A14">
        <w:t xml:space="preserve"> </w:t>
      </w:r>
      <w:r>
        <w:t>to this Attachment.</w:t>
      </w:r>
    </w:p>
    <w:p w14:paraId="74C168D3" w14:textId="77777777" w:rsidR="007E5181" w:rsidRDefault="007E5181" w:rsidP="007E5181">
      <w:pPr>
        <w:pStyle w:val="NoteToTenderers-ASDEFCON"/>
      </w:pPr>
      <w:r w:rsidRPr="008653AB">
        <w:t>Note to tenderers:</w:t>
      </w:r>
    </w:p>
    <w:p w14:paraId="3ADF655B" w14:textId="27A4AE09" w:rsidR="007E5181" w:rsidRDefault="007E5181" w:rsidP="007E5181">
      <w:pPr>
        <w:pStyle w:val="NoteToTenderers-ASDEFCON"/>
        <w:spacing w:before="120"/>
        <w:ind w:left="720" w:hanging="720"/>
      </w:pPr>
      <w:r>
        <w:t>Note 1:</w:t>
      </w:r>
      <w:r>
        <w:tab/>
      </w:r>
      <w:r w:rsidRPr="007B14E6">
        <w:t xml:space="preserve">For labour costs incurred </w:t>
      </w:r>
      <w:r>
        <w:t xml:space="preserve">in Australia, </w:t>
      </w:r>
      <w:r w:rsidR="00C3055B">
        <w:t>i</w:t>
      </w:r>
      <w:r w:rsidRPr="008653AB">
        <w:t>nput based (cost of labour) ind</w:t>
      </w:r>
      <w:r w:rsidR="00C3055B">
        <w:t>ices</w:t>
      </w:r>
      <w:r w:rsidRPr="008653AB">
        <w:t xml:space="preserve"> acceptable to the Commonwealth </w:t>
      </w:r>
      <w:r w:rsidR="00C3055B">
        <w:t>are included in the</w:t>
      </w:r>
      <w:r w:rsidRPr="008653AB">
        <w:t xml:space="preserve"> ABS catalogue ‘Wage </w:t>
      </w:r>
      <w:r>
        <w:t>Price</w:t>
      </w:r>
      <w:r w:rsidRPr="008653AB">
        <w:t xml:space="preserve"> Index’</w:t>
      </w:r>
      <w:r>
        <w:t xml:space="preserve"> </w:t>
      </w:r>
      <w:r w:rsidR="007E131B">
        <w:t>–</w:t>
      </w:r>
      <w:r>
        <w:t xml:space="preserve"> Table</w:t>
      </w:r>
      <w:r w:rsidR="007E131B">
        <w:t>s 8B and</w:t>
      </w:r>
      <w:r>
        <w:t xml:space="preserve"> 9B</w:t>
      </w:r>
      <w:r w:rsidRPr="008653AB">
        <w:t>.</w:t>
      </w:r>
    </w:p>
    <w:p w14:paraId="274033E5" w14:textId="77777777" w:rsidR="007E5181" w:rsidRDefault="007E5181" w:rsidP="007E5181">
      <w:pPr>
        <w:pStyle w:val="NoteToTenderers-ASDEFCON"/>
        <w:spacing w:before="120"/>
        <w:ind w:left="720" w:hanging="720"/>
      </w:pPr>
      <w:r>
        <w:t>Note 2:</w:t>
      </w:r>
      <w:r>
        <w:tab/>
      </w:r>
      <w:r w:rsidRPr="007B14E6">
        <w:t>For labour costs incurred overseas, the labour index must be an appropriate index published by an agency of the relevant Government.</w:t>
      </w:r>
    </w:p>
    <w:p w14:paraId="651397E1" w14:textId="77777777" w:rsidR="007E5181" w:rsidRDefault="007E5181" w:rsidP="007E5181">
      <w:pPr>
        <w:pStyle w:val="NoteToTenderers-ASDEFCON"/>
        <w:ind w:left="720" w:hanging="720"/>
      </w:pPr>
      <w:r>
        <w:t>Note 3:</w:t>
      </w:r>
      <w:r>
        <w:tab/>
      </w:r>
      <w:r w:rsidRPr="008653AB">
        <w:t xml:space="preserve">For the Australian materials component, </w:t>
      </w:r>
      <w:r>
        <w:t>ABS catalogue ‘Producer Price Indexes, Australia’ – Table 12 should be utilised.</w:t>
      </w:r>
    </w:p>
    <w:p w14:paraId="3BB67BB7" w14:textId="77777777" w:rsidR="007E5181" w:rsidRDefault="007E5181" w:rsidP="007E5181">
      <w:pPr>
        <w:pStyle w:val="NoteToTenderers-ASDEFCON"/>
        <w:ind w:left="720" w:hanging="720"/>
      </w:pPr>
      <w:r>
        <w:t>Note 4:</w:t>
      </w:r>
      <w:r>
        <w:tab/>
        <w:t>F</w:t>
      </w:r>
      <w:r w:rsidRPr="008653AB">
        <w:t xml:space="preserve">or </w:t>
      </w:r>
      <w:r>
        <w:t xml:space="preserve">the </w:t>
      </w:r>
      <w:r w:rsidRPr="008653AB">
        <w:t>imported materials</w:t>
      </w:r>
      <w:r>
        <w:t xml:space="preserve"> component</w:t>
      </w:r>
      <w:r w:rsidRPr="008653AB">
        <w:t xml:space="preserve">, the </w:t>
      </w:r>
      <w:r w:rsidRPr="004D1BA9">
        <w:t>index must be appropriate and published by an agency of the relevant Government.</w:t>
      </w:r>
    </w:p>
    <w:p w14:paraId="12C6F9B1" w14:textId="696305E7" w:rsidR="00752697" w:rsidRDefault="004D7B57" w:rsidP="00FA7EF5">
      <w:pPr>
        <w:pStyle w:val="COTCOCLV1-ASDEFCON"/>
      </w:pPr>
      <w:bookmarkStart w:id="26" w:name="_Toc74207417"/>
      <w:bookmarkStart w:id="27" w:name="_Toc74207740"/>
      <w:bookmarkStart w:id="28" w:name="_Toc74208018"/>
      <w:bookmarkStart w:id="29" w:name="_Toc74208295"/>
      <w:bookmarkStart w:id="30" w:name="_Toc74208576"/>
      <w:bookmarkStart w:id="31" w:name="_Toc74208854"/>
      <w:bookmarkStart w:id="32" w:name="_Toc74308403"/>
      <w:bookmarkStart w:id="33" w:name="_Toc74308797"/>
      <w:bookmarkStart w:id="34" w:name="_Toc74309183"/>
      <w:bookmarkStart w:id="35" w:name="_Toc74636439"/>
      <w:bookmarkStart w:id="36" w:name="_Ref94692990"/>
      <w:bookmarkEnd w:id="25"/>
      <w:bookmarkEnd w:id="26"/>
      <w:bookmarkEnd w:id="27"/>
      <w:bookmarkEnd w:id="28"/>
      <w:bookmarkEnd w:id="29"/>
      <w:bookmarkEnd w:id="30"/>
      <w:bookmarkEnd w:id="31"/>
      <w:bookmarkEnd w:id="32"/>
      <w:bookmarkEnd w:id="33"/>
      <w:bookmarkEnd w:id="34"/>
      <w:bookmarkEnd w:id="35"/>
      <w:r>
        <w:t>Performance Assessment and Performance Payments (OPTIONAL)</w:t>
      </w:r>
      <w:bookmarkEnd w:id="36"/>
    </w:p>
    <w:p w14:paraId="2E33A3F0" w14:textId="76407218" w:rsidR="004D7B57" w:rsidRDefault="004D7B57" w:rsidP="00FA7EF5">
      <w:pPr>
        <w:pStyle w:val="COTCOCLV2-ASDEFCON"/>
      </w:pPr>
      <w:r>
        <w:t>Assessment of Performance and Calculation of Performance Payments</w:t>
      </w:r>
    </w:p>
    <w:p w14:paraId="216608FE" w14:textId="613F67AA" w:rsidR="009C4F06" w:rsidRPr="00FD61D9" w:rsidRDefault="009C4F06" w:rsidP="00FA7EF5">
      <w:pPr>
        <w:pStyle w:val="COTCOCLV3-ASDEFCON"/>
      </w:pPr>
      <w:r>
        <w:t xml:space="preserve">Annex </w:t>
      </w:r>
      <w:r w:rsidR="00CE2C8B">
        <w:t>G</w:t>
      </w:r>
      <w:r>
        <w:t xml:space="preserve"> describes the performance assessment process and the method for calculating Performance Payments.</w:t>
      </w:r>
    </w:p>
    <w:bookmarkEnd w:id="0"/>
    <w:p w14:paraId="21CF5DCF" w14:textId="77777777" w:rsidR="00BE0263" w:rsidRPr="00775F62" w:rsidRDefault="00BE0263" w:rsidP="00FA7EF5">
      <w:pPr>
        <w:pStyle w:val="COTCOCLV3-ASDEFCON"/>
        <w:numPr>
          <w:ilvl w:val="0"/>
          <w:numId w:val="0"/>
        </w:numPr>
      </w:pPr>
    </w:p>
    <w:sectPr w:rsidR="00BE0263" w:rsidRPr="00775F62" w:rsidSect="0026303F">
      <w:headerReference w:type="even" r:id="rId9"/>
      <w:headerReference w:type="default" r:id="rId10"/>
      <w:footerReference w:type="even" r:id="rId11"/>
      <w:footerReference w:type="default" r:id="rId12"/>
      <w:headerReference w:type="first" r:id="rId13"/>
      <w:footerReference w:type="first" r:id="rId14"/>
      <w:pgSz w:w="11906" w:h="16838" w:code="9"/>
      <w:pgMar w:top="1304" w:right="1418" w:bottom="680" w:left="1418" w:header="709" w:footer="283"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29749" w16cex:dateUtc="2023-06-25T00:36:00Z"/>
  <w16cex:commentExtensible w16cex:durableId="284297C3" w16cex:dateUtc="2023-06-25T00:38:00Z"/>
  <w16cex:commentExtensible w16cex:durableId="28429C1D" w16cex:dateUtc="2023-06-25T00:57:00Z"/>
  <w16cex:commentExtensible w16cex:durableId="2842A101" w16cex:dateUtc="2023-06-25T01:18:00Z"/>
  <w16cex:commentExtensible w16cex:durableId="2842A034" w16cex:dateUtc="2023-06-25T01:15:00Z"/>
  <w16cex:commentExtensible w16cex:durableId="2842A197" w16cex:dateUtc="2023-06-25T01:20:00Z"/>
  <w16cex:commentExtensible w16cex:durableId="2842A3BD" w16cex:dateUtc="2023-06-25T01:30:00Z"/>
  <w16cex:commentExtensible w16cex:durableId="2842A389" w16cex:dateUtc="2023-06-25T01:29:00Z"/>
  <w16cex:commentExtensible w16cex:durableId="2842A4A5" w16cex:dateUtc="2023-06-25T01:33:00Z"/>
  <w16cex:commentExtensible w16cex:durableId="2842A669" w16cex:dateUtc="2023-06-25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6321A5" w16cid:durableId="28429749"/>
  <w16cid:commentId w16cid:paraId="594BB4C7" w16cid:durableId="2834A81A"/>
  <w16cid:commentId w16cid:paraId="48631155" w16cid:durableId="2834A81B"/>
  <w16cid:commentId w16cid:paraId="24C0CF8B" w16cid:durableId="2834A81C"/>
  <w16cid:commentId w16cid:paraId="39412438" w16cid:durableId="284297C3"/>
  <w16cid:commentId w16cid:paraId="4750945D" w16cid:durableId="2834A81D"/>
  <w16cid:commentId w16cid:paraId="79589CD5" w16cid:durableId="2834A81E"/>
  <w16cid:commentId w16cid:paraId="04639F9A" w16cid:durableId="2834A81F"/>
  <w16cid:commentId w16cid:paraId="62992852" w16cid:durableId="2834A820"/>
  <w16cid:commentId w16cid:paraId="0ACB0465" w16cid:durableId="2834A821"/>
  <w16cid:commentId w16cid:paraId="156F12BF" w16cid:durableId="2834A822"/>
  <w16cid:commentId w16cid:paraId="34E8ED21" w16cid:durableId="2834A823"/>
  <w16cid:commentId w16cid:paraId="687B77E8" w16cid:durableId="2834A824"/>
  <w16cid:commentId w16cid:paraId="6B9F2678" w16cid:durableId="28429C1D"/>
  <w16cid:commentId w16cid:paraId="0AA01F8A" w16cid:durableId="2842A101"/>
  <w16cid:commentId w16cid:paraId="381165A8" w16cid:durableId="2842A034"/>
  <w16cid:commentId w16cid:paraId="0EECD320" w16cid:durableId="2842A197"/>
  <w16cid:commentId w16cid:paraId="561FC984" w16cid:durableId="2842A3BD"/>
  <w16cid:commentId w16cid:paraId="343C6208" w16cid:durableId="2842A389"/>
  <w16cid:commentId w16cid:paraId="44FD1C27" w16cid:durableId="2842A4A5"/>
  <w16cid:commentId w16cid:paraId="4B5FDADF" w16cid:durableId="2842A6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E408C" w14:textId="77777777" w:rsidR="00711312" w:rsidRDefault="00711312">
      <w:pPr>
        <w:spacing w:after="0"/>
      </w:pPr>
      <w:r>
        <w:separator/>
      </w:r>
    </w:p>
  </w:endnote>
  <w:endnote w:type="continuationSeparator" w:id="0">
    <w:p w14:paraId="15041CBC" w14:textId="77777777" w:rsidR="00711312" w:rsidRDefault="007113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F28B1" w14:textId="77777777" w:rsidR="00C262AE" w:rsidRDefault="00C262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CE74B4" w14:paraId="4EE4D235" w14:textId="77777777" w:rsidTr="00BE0263">
      <w:tc>
        <w:tcPr>
          <w:tcW w:w="2500" w:type="pct"/>
        </w:tcPr>
        <w:p w14:paraId="5103E9FB" w14:textId="701AE68E" w:rsidR="00CE74B4" w:rsidRDefault="00CE74B4" w:rsidP="00752697">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68250C">
            <w:rPr>
              <w:rStyle w:val="PageNumber"/>
            </w:rPr>
            <w:t>Attachment to Draft Conditions of Contract</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0E15BE">
            <w:rPr>
              <w:rStyle w:val="PageNumber"/>
            </w:rPr>
            <w:t>V1.2</w:t>
          </w:r>
          <w:r>
            <w:rPr>
              <w:rStyle w:val="PageNumber"/>
            </w:rPr>
            <w:fldChar w:fldCharType="end"/>
          </w:r>
          <w:r>
            <w:rPr>
              <w:rStyle w:val="PageNumber"/>
            </w:rPr>
            <w:t>)</w:t>
          </w:r>
        </w:p>
      </w:tc>
      <w:tc>
        <w:tcPr>
          <w:tcW w:w="2500" w:type="pct"/>
        </w:tcPr>
        <w:p w14:paraId="1E3413B5" w14:textId="5C4A48AF" w:rsidR="00CE74B4" w:rsidRDefault="00CE74B4" w:rsidP="00BE0263">
          <w:pPr>
            <w:pStyle w:val="ASDEFCONHeaderFooterRight"/>
            <w:rPr>
              <w:rStyle w:val="PageNumber"/>
              <w:color w:val="auto"/>
            </w:rPr>
          </w:pPr>
          <w:r>
            <w:rPr>
              <w:rStyle w:val="PageNumber"/>
            </w:rPr>
            <w:t>B-</w:t>
          </w:r>
          <w:r>
            <w:rPr>
              <w:rStyle w:val="PageNumber"/>
              <w:rFonts w:cs="Arial"/>
              <w:snapToGrid w:val="0"/>
              <w:color w:val="auto"/>
              <w:szCs w:val="24"/>
              <w:lang w:val="en-US"/>
            </w:rPr>
            <w:fldChar w:fldCharType="begin"/>
          </w:r>
          <w:r>
            <w:rPr>
              <w:rStyle w:val="PageNumber"/>
              <w:rFonts w:cs="Arial"/>
              <w:snapToGrid w:val="0"/>
              <w:color w:val="auto"/>
              <w:szCs w:val="24"/>
              <w:lang w:val="en-US"/>
            </w:rPr>
            <w:instrText xml:space="preserve"> PAGE </w:instrText>
          </w:r>
          <w:r>
            <w:rPr>
              <w:rStyle w:val="PageNumber"/>
              <w:rFonts w:cs="Arial"/>
              <w:snapToGrid w:val="0"/>
              <w:color w:val="auto"/>
              <w:szCs w:val="24"/>
              <w:lang w:val="en-US"/>
            </w:rPr>
            <w:fldChar w:fldCharType="separate"/>
          </w:r>
          <w:r w:rsidR="00711312">
            <w:rPr>
              <w:rStyle w:val="PageNumber"/>
              <w:rFonts w:cs="Arial"/>
              <w:noProof/>
              <w:snapToGrid w:val="0"/>
              <w:color w:val="auto"/>
              <w:szCs w:val="24"/>
              <w:lang w:val="en-US"/>
            </w:rPr>
            <w:t>1</w:t>
          </w:r>
          <w:r>
            <w:rPr>
              <w:rStyle w:val="PageNumber"/>
              <w:rFonts w:cs="Arial"/>
              <w:snapToGrid w:val="0"/>
              <w:color w:val="auto"/>
              <w:szCs w:val="24"/>
              <w:lang w:val="en-US"/>
            </w:rPr>
            <w:fldChar w:fldCharType="end"/>
          </w:r>
        </w:p>
      </w:tc>
    </w:tr>
    <w:tr w:rsidR="00CE74B4" w14:paraId="15F1B137" w14:textId="77777777" w:rsidTr="00BE0263">
      <w:tc>
        <w:tcPr>
          <w:tcW w:w="5000" w:type="pct"/>
          <w:gridSpan w:val="2"/>
        </w:tcPr>
        <w:p w14:paraId="3B6111B9" w14:textId="60413446" w:rsidR="00CE74B4" w:rsidRDefault="00CE74B4" w:rsidP="00BE0263">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68250C">
            <w:rPr>
              <w:rStyle w:val="PageNumber"/>
            </w:rPr>
            <w:t>OFFICIAL</w:t>
          </w:r>
          <w:r>
            <w:rPr>
              <w:rStyle w:val="PageNumber"/>
            </w:rPr>
            <w:fldChar w:fldCharType="end"/>
          </w:r>
        </w:p>
      </w:tc>
    </w:tr>
  </w:tbl>
  <w:p w14:paraId="742837A3" w14:textId="77777777" w:rsidR="00CE74B4" w:rsidRPr="006844A1" w:rsidRDefault="00CE74B4" w:rsidP="00BE0263">
    <w:pPr>
      <w:pStyle w:val="Footer"/>
      <w:rPr>
        <w:rStyle w:val="PageNumbe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CE74B4" w14:paraId="3A8A3AAE" w14:textId="77777777" w:rsidTr="00BE0263">
      <w:tc>
        <w:tcPr>
          <w:tcW w:w="2500" w:type="pct"/>
        </w:tcPr>
        <w:p w14:paraId="6ECD53C2" w14:textId="762ACD0B" w:rsidR="00CE74B4" w:rsidRDefault="00CE74B4" w:rsidP="00752697">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68250C">
            <w:rPr>
              <w:rStyle w:val="PageNumber"/>
            </w:rPr>
            <w:t>Attachment to Draft Conditions of Contract</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68250C">
            <w:rPr>
              <w:rStyle w:val="PageNumber"/>
            </w:rPr>
            <w:t>V1.1</w:t>
          </w:r>
          <w:r>
            <w:rPr>
              <w:rStyle w:val="PageNumber"/>
            </w:rPr>
            <w:fldChar w:fldCharType="end"/>
          </w:r>
          <w:r>
            <w:rPr>
              <w:rStyle w:val="PageNumber"/>
            </w:rPr>
            <w:t>)</w:t>
          </w:r>
        </w:p>
      </w:tc>
      <w:tc>
        <w:tcPr>
          <w:tcW w:w="2500" w:type="pct"/>
        </w:tcPr>
        <w:p w14:paraId="5613394E" w14:textId="6E6C4B61" w:rsidR="00CE74B4" w:rsidRDefault="00CE74B4" w:rsidP="00BE0263">
          <w:pPr>
            <w:pStyle w:val="ASDEFCONHeaderFooterRight"/>
            <w:rPr>
              <w:rStyle w:val="PageNumber"/>
              <w:color w:val="auto"/>
            </w:rPr>
          </w:pPr>
          <w:r>
            <w:rPr>
              <w:rStyle w:val="PageNumber"/>
            </w:rPr>
            <w:t>BE-</w:t>
          </w:r>
          <w:r>
            <w:rPr>
              <w:rStyle w:val="PageNumber"/>
              <w:rFonts w:cs="Arial"/>
              <w:snapToGrid w:val="0"/>
              <w:color w:val="auto"/>
              <w:szCs w:val="24"/>
              <w:lang w:val="en-US"/>
            </w:rPr>
            <w:fldChar w:fldCharType="begin"/>
          </w:r>
          <w:r>
            <w:rPr>
              <w:rStyle w:val="PageNumber"/>
              <w:rFonts w:cs="Arial"/>
              <w:snapToGrid w:val="0"/>
              <w:color w:val="auto"/>
              <w:szCs w:val="24"/>
              <w:lang w:val="en-US"/>
            </w:rPr>
            <w:instrText xml:space="preserve"> PAGE </w:instrText>
          </w:r>
          <w:r>
            <w:rPr>
              <w:rStyle w:val="PageNumber"/>
              <w:rFonts w:cs="Arial"/>
              <w:snapToGrid w:val="0"/>
              <w:color w:val="auto"/>
              <w:szCs w:val="24"/>
              <w:lang w:val="en-US"/>
            </w:rPr>
            <w:fldChar w:fldCharType="separate"/>
          </w:r>
          <w:r w:rsidR="0068250C">
            <w:rPr>
              <w:rStyle w:val="PageNumber"/>
              <w:rFonts w:cs="Arial"/>
              <w:noProof/>
              <w:snapToGrid w:val="0"/>
              <w:color w:val="auto"/>
              <w:szCs w:val="24"/>
              <w:lang w:val="en-US"/>
            </w:rPr>
            <w:t>2</w:t>
          </w:r>
          <w:r>
            <w:rPr>
              <w:rStyle w:val="PageNumber"/>
              <w:rFonts w:cs="Arial"/>
              <w:snapToGrid w:val="0"/>
              <w:color w:val="auto"/>
              <w:szCs w:val="24"/>
              <w:lang w:val="en-US"/>
            </w:rPr>
            <w:fldChar w:fldCharType="end"/>
          </w:r>
        </w:p>
      </w:tc>
    </w:tr>
    <w:tr w:rsidR="00CE74B4" w14:paraId="08168EC5" w14:textId="77777777" w:rsidTr="00BE0263">
      <w:tc>
        <w:tcPr>
          <w:tcW w:w="5000" w:type="pct"/>
          <w:gridSpan w:val="2"/>
        </w:tcPr>
        <w:p w14:paraId="63F9FAC7" w14:textId="214E3D40" w:rsidR="00CE74B4" w:rsidRDefault="00CE74B4" w:rsidP="00BE0263">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68250C">
            <w:rPr>
              <w:rStyle w:val="PageNumber"/>
            </w:rPr>
            <w:t>OFFICIAL</w:t>
          </w:r>
          <w:r>
            <w:rPr>
              <w:rStyle w:val="PageNumber"/>
            </w:rPr>
            <w:fldChar w:fldCharType="end"/>
          </w:r>
        </w:p>
      </w:tc>
    </w:tr>
  </w:tbl>
  <w:p w14:paraId="646FD350" w14:textId="77777777" w:rsidR="00CE74B4" w:rsidRPr="006844A1" w:rsidRDefault="00CE74B4" w:rsidP="00BE0263">
    <w:pPr>
      <w:pStyle w:val="Foo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F759D" w14:textId="77777777" w:rsidR="00711312" w:rsidRDefault="00711312">
      <w:pPr>
        <w:spacing w:after="0"/>
      </w:pPr>
      <w:r>
        <w:separator/>
      </w:r>
    </w:p>
  </w:footnote>
  <w:footnote w:type="continuationSeparator" w:id="0">
    <w:p w14:paraId="18600E76" w14:textId="77777777" w:rsidR="00711312" w:rsidRDefault="007113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D29BA" w14:textId="77777777" w:rsidR="00C262AE" w:rsidRDefault="00C262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4535"/>
      <w:gridCol w:w="4535"/>
    </w:tblGrid>
    <w:tr w:rsidR="00CE74B4" w14:paraId="45F508AA" w14:textId="77777777" w:rsidTr="0026303F">
      <w:tc>
        <w:tcPr>
          <w:tcW w:w="5000" w:type="pct"/>
          <w:gridSpan w:val="2"/>
        </w:tcPr>
        <w:p w14:paraId="6AEDF5A1" w14:textId="2AE18071" w:rsidR="00CE74B4" w:rsidRDefault="00864FAB" w:rsidP="0026303F">
          <w:pPr>
            <w:pStyle w:val="ASDEFCONHeaderFooterClassification"/>
          </w:pPr>
          <w:fldSimple w:instr=" DOCPROPERTY Classification ">
            <w:r w:rsidR="0068250C">
              <w:t>OFFICIAL</w:t>
            </w:r>
          </w:fldSimple>
        </w:p>
      </w:tc>
    </w:tr>
    <w:tr w:rsidR="00CE74B4" w14:paraId="67E1F239" w14:textId="77777777" w:rsidTr="0026303F">
      <w:tc>
        <w:tcPr>
          <w:tcW w:w="2500" w:type="pct"/>
        </w:tcPr>
        <w:p w14:paraId="645A403E" w14:textId="06D0E96B" w:rsidR="00CE74B4" w:rsidRDefault="00711312" w:rsidP="0074548B">
          <w:pPr>
            <w:pStyle w:val="ASDEFCONHeaderFooterLeft"/>
          </w:pPr>
          <w:r>
            <w:fldChar w:fldCharType="begin"/>
          </w:r>
          <w:r>
            <w:instrText xml:space="preserve"> DOCPROPERTY Header_Left </w:instrText>
          </w:r>
          <w:r>
            <w:fldChar w:fldCharType="separate"/>
          </w:r>
          <w:r w:rsidR="0068250C">
            <w:t>ASDEFCON (Complex Services)</w:t>
          </w:r>
          <w:r>
            <w:fldChar w:fldCharType="end"/>
          </w:r>
        </w:p>
      </w:tc>
      <w:tc>
        <w:tcPr>
          <w:tcW w:w="2500" w:type="pct"/>
        </w:tcPr>
        <w:p w14:paraId="755F663C" w14:textId="25E5E05A" w:rsidR="00CE74B4" w:rsidRDefault="00711312" w:rsidP="0026303F">
          <w:pPr>
            <w:pStyle w:val="ASDEFCONHeaderFooterRight"/>
          </w:pPr>
          <w:r>
            <w:fldChar w:fldCharType="begin"/>
          </w:r>
          <w:r>
            <w:instrText xml:space="preserve"> DOCPROPERTY Header_Right </w:instrText>
          </w:r>
          <w:r>
            <w:fldChar w:fldCharType="separate"/>
          </w:r>
          <w:r w:rsidR="0068250C">
            <w:t>Part 2</w:t>
          </w:r>
          <w:r>
            <w:fldChar w:fldCharType="end"/>
          </w:r>
        </w:p>
      </w:tc>
    </w:tr>
  </w:tbl>
  <w:p w14:paraId="12450429" w14:textId="0BDBB0E9" w:rsidR="00CE74B4" w:rsidRDefault="00CE74B4" w:rsidP="0026303F">
    <w:pPr>
      <w:pStyle w:val="ASDEFCONHeaderFooterClassification"/>
    </w:pPr>
    <w:r>
      <w:t>Attachment B</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E4D17" w14:textId="77777777" w:rsidR="00C262AE" w:rsidRDefault="00C262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60EAAB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8FA5AF9"/>
    <w:multiLevelType w:val="multilevel"/>
    <w:tmpl w:val="C396CA52"/>
    <w:lvl w:ilvl="0">
      <w:start w:val="1"/>
      <w:numFmt w:val="decimal"/>
      <w:lvlText w:val="%1."/>
      <w:lvlJc w:val="left"/>
      <w:pPr>
        <w:tabs>
          <w:tab w:val="num" w:pos="907"/>
        </w:tabs>
        <w:ind w:left="907" w:hanging="907"/>
      </w:pPr>
      <w:rPr>
        <w:rFonts w:ascii="Arial" w:hAnsi="Arial" w:hint="default"/>
        <w:b/>
        <w:i w:val="0"/>
        <w:sz w:val="20"/>
      </w:rPr>
    </w:lvl>
    <w:lvl w:ilvl="1">
      <w:start w:val="1"/>
      <w:numFmt w:val="decimal"/>
      <w:pStyle w:val="TextLevel2"/>
      <w:lvlText w:val="%1.%2"/>
      <w:lvlJc w:val="left"/>
      <w:pPr>
        <w:tabs>
          <w:tab w:val="num" w:pos="907"/>
        </w:tabs>
        <w:ind w:left="907" w:hanging="907"/>
      </w:pPr>
      <w:rPr>
        <w:rFonts w:ascii="Arial" w:hAnsi="Arial" w:hint="default"/>
        <w:sz w:val="20"/>
      </w:rPr>
    </w:lvl>
    <w:lvl w:ilvl="2">
      <w:start w:val="1"/>
      <w:numFmt w:val="decimal"/>
      <w:lvlText w:val="%1.%2."/>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1C75FA"/>
    <w:multiLevelType w:val="multilevel"/>
    <w:tmpl w:val="7CCAC9CA"/>
    <w:lvl w:ilvl="0">
      <w:start w:val="1"/>
      <w:numFmt w:val="decimal"/>
      <w:lvlText w:val="%1."/>
      <w:lvlJc w:val="left"/>
      <w:pPr>
        <w:tabs>
          <w:tab w:val="num" w:pos="432"/>
        </w:tabs>
        <w:ind w:left="432" w:hanging="432"/>
      </w:pPr>
      <w:rPr>
        <w:rFonts w:ascii="Arial" w:hAnsi="Arial" w:hint="default"/>
        <w:b/>
        <w:i w:val="0"/>
        <w:sz w:val="20"/>
      </w:rPr>
    </w:lvl>
    <w:lvl w:ilvl="1">
      <w:start w:val="1"/>
      <w:numFmt w:val="decimal"/>
      <w:lvlRestart w:val="0"/>
      <w:lvlText w:val="%2.%1"/>
      <w:lvlJc w:val="left"/>
      <w:pPr>
        <w:tabs>
          <w:tab w:val="num" w:pos="576"/>
        </w:tabs>
        <w:ind w:left="576" w:hanging="576"/>
      </w:pPr>
    </w:lvl>
    <w:lvl w:ilvl="2">
      <w:start w:val="1"/>
      <w:numFmt w:val="lowerLetter"/>
      <w:lvlRestart w:val="0"/>
      <w:pStyle w:val="spara"/>
      <w:lvlText w:val="%3."/>
      <w:lvlJc w:val="left"/>
      <w:pPr>
        <w:tabs>
          <w:tab w:val="num" w:pos="720"/>
        </w:tabs>
        <w:ind w:left="720" w:hanging="720"/>
      </w:pPr>
    </w:lvl>
    <w:lvl w:ilvl="3">
      <w:start w:val="1"/>
      <w:numFmt w:val="lowerRoman"/>
      <w:pStyle w:val="sspara"/>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DD2F8F"/>
    <w:multiLevelType w:val="singleLevel"/>
    <w:tmpl w:val="FD261D0A"/>
    <w:lvl w:ilvl="0">
      <w:start w:val="1"/>
      <w:numFmt w:val="upperLetter"/>
      <w:pStyle w:val="Attachments"/>
      <w:lvlText w:val="%1."/>
      <w:lvlJc w:val="left"/>
      <w:pPr>
        <w:tabs>
          <w:tab w:val="num" w:pos="1440"/>
        </w:tabs>
        <w:ind w:left="1440" w:hanging="533"/>
      </w:pPr>
    </w:lvl>
  </w:abstractNum>
  <w:abstractNum w:abstractNumId="1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6"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8"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9"/>
  </w:num>
  <w:num w:numId="3">
    <w:abstractNumId w:val="14"/>
  </w:num>
  <w:num w:numId="4">
    <w:abstractNumId w:val="5"/>
  </w:num>
  <w:num w:numId="5">
    <w:abstractNumId w:val="21"/>
  </w:num>
  <w:num w:numId="6">
    <w:abstractNumId w:val="8"/>
  </w:num>
  <w:num w:numId="7">
    <w:abstractNumId w:val="27"/>
  </w:num>
  <w:num w:numId="8">
    <w:abstractNumId w:val="0"/>
  </w:num>
  <w:num w:numId="9">
    <w:abstractNumId w:val="34"/>
  </w:num>
  <w:num w:numId="10">
    <w:abstractNumId w:val="13"/>
  </w:num>
  <w:num w:numId="11">
    <w:abstractNumId w:val="15"/>
  </w:num>
  <w:num w:numId="12">
    <w:abstractNumId w:val="36"/>
  </w:num>
  <w:num w:numId="13">
    <w:abstractNumId w:val="22"/>
  </w:num>
  <w:num w:numId="14">
    <w:abstractNumId w:val="40"/>
  </w:num>
  <w:num w:numId="15">
    <w:abstractNumId w:val="16"/>
  </w:num>
  <w:num w:numId="16">
    <w:abstractNumId w:val="19"/>
  </w:num>
  <w:num w:numId="17">
    <w:abstractNumId w:val="42"/>
  </w:num>
  <w:num w:numId="18">
    <w:abstractNumId w:val="12"/>
  </w:num>
  <w:num w:numId="19">
    <w:abstractNumId w:val="10"/>
  </w:num>
  <w:num w:numId="20">
    <w:abstractNumId w:val="3"/>
  </w:num>
  <w:num w:numId="21">
    <w:abstractNumId w:val="6"/>
  </w:num>
  <w:num w:numId="22">
    <w:abstractNumId w:val="18"/>
  </w:num>
  <w:num w:numId="23">
    <w:abstractNumId w:val="2"/>
  </w:num>
  <w:num w:numId="24">
    <w:abstractNumId w:val="24"/>
  </w:num>
  <w:num w:numId="25">
    <w:abstractNumId w:val="38"/>
  </w:num>
  <w:num w:numId="26">
    <w:abstractNumId w:val="35"/>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num>
  <w:num w:numId="29">
    <w:abstractNumId w:val="20"/>
  </w:num>
  <w:num w:numId="30">
    <w:abstractNumId w:val="23"/>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39"/>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7"/>
  </w:num>
  <w:num w:numId="37">
    <w:abstractNumId w:val="41"/>
  </w:num>
  <w:num w:numId="38">
    <w:abstractNumId w:val="17"/>
  </w:num>
  <w:num w:numId="39">
    <w:abstractNumId w:val="26"/>
  </w:num>
  <w:num w:numId="40">
    <w:abstractNumId w:val="11"/>
  </w:num>
  <w:num w:numId="41">
    <w:abstractNumId w:val="4"/>
  </w:num>
  <w:num w:numId="42">
    <w:abstractNumId w:val="31"/>
  </w:num>
  <w:num w:numId="43">
    <w:abstractNumId w:val="32"/>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33"/>
  </w:num>
  <w:num w:numId="4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10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7A2"/>
    <w:rsid w:val="0000427D"/>
    <w:rsid w:val="00006B1B"/>
    <w:rsid w:val="00007864"/>
    <w:rsid w:val="00017B0B"/>
    <w:rsid w:val="00027FDD"/>
    <w:rsid w:val="00031310"/>
    <w:rsid w:val="00032152"/>
    <w:rsid w:val="000435F1"/>
    <w:rsid w:val="00045EEB"/>
    <w:rsid w:val="00046994"/>
    <w:rsid w:val="00047E58"/>
    <w:rsid w:val="00051158"/>
    <w:rsid w:val="00054036"/>
    <w:rsid w:val="00092CD1"/>
    <w:rsid w:val="000A1B90"/>
    <w:rsid w:val="000A3775"/>
    <w:rsid w:val="000B2D6B"/>
    <w:rsid w:val="000B431C"/>
    <w:rsid w:val="000C0479"/>
    <w:rsid w:val="000C3192"/>
    <w:rsid w:val="000D12A1"/>
    <w:rsid w:val="000E15BE"/>
    <w:rsid w:val="00112F10"/>
    <w:rsid w:val="0013351B"/>
    <w:rsid w:val="0015483F"/>
    <w:rsid w:val="001562DF"/>
    <w:rsid w:val="001570FC"/>
    <w:rsid w:val="0017101E"/>
    <w:rsid w:val="001774FB"/>
    <w:rsid w:val="0019339F"/>
    <w:rsid w:val="001A2B8B"/>
    <w:rsid w:val="001A410C"/>
    <w:rsid w:val="001B6DFD"/>
    <w:rsid w:val="001C65FE"/>
    <w:rsid w:val="001D5713"/>
    <w:rsid w:val="001E6610"/>
    <w:rsid w:val="001E7B4C"/>
    <w:rsid w:val="001F0CD0"/>
    <w:rsid w:val="001F3F89"/>
    <w:rsid w:val="001F53B5"/>
    <w:rsid w:val="00203205"/>
    <w:rsid w:val="002157A2"/>
    <w:rsid w:val="002200D9"/>
    <w:rsid w:val="00226BAD"/>
    <w:rsid w:val="00234B94"/>
    <w:rsid w:val="002421D6"/>
    <w:rsid w:val="00260EA9"/>
    <w:rsid w:val="0026303F"/>
    <w:rsid w:val="002818C8"/>
    <w:rsid w:val="002A7328"/>
    <w:rsid w:val="002A7F88"/>
    <w:rsid w:val="002B681E"/>
    <w:rsid w:val="002E2274"/>
    <w:rsid w:val="002F0A87"/>
    <w:rsid w:val="002F432E"/>
    <w:rsid w:val="002F56C4"/>
    <w:rsid w:val="00301A24"/>
    <w:rsid w:val="0030616A"/>
    <w:rsid w:val="00306F3F"/>
    <w:rsid w:val="00307E35"/>
    <w:rsid w:val="003145CC"/>
    <w:rsid w:val="00317140"/>
    <w:rsid w:val="00317A71"/>
    <w:rsid w:val="0032749B"/>
    <w:rsid w:val="00330889"/>
    <w:rsid w:val="00331B9F"/>
    <w:rsid w:val="003349EA"/>
    <w:rsid w:val="00344C02"/>
    <w:rsid w:val="003468D5"/>
    <w:rsid w:val="0036392D"/>
    <w:rsid w:val="00381F6A"/>
    <w:rsid w:val="00383AFE"/>
    <w:rsid w:val="003869AE"/>
    <w:rsid w:val="00396619"/>
    <w:rsid w:val="003A1DFF"/>
    <w:rsid w:val="003A27D3"/>
    <w:rsid w:val="003A3268"/>
    <w:rsid w:val="003A3EB5"/>
    <w:rsid w:val="003A514D"/>
    <w:rsid w:val="003B5604"/>
    <w:rsid w:val="003C06EF"/>
    <w:rsid w:val="003C42E9"/>
    <w:rsid w:val="003C4909"/>
    <w:rsid w:val="003C4F9F"/>
    <w:rsid w:val="003E2BB9"/>
    <w:rsid w:val="004037C6"/>
    <w:rsid w:val="00411E3B"/>
    <w:rsid w:val="004454D1"/>
    <w:rsid w:val="0044727C"/>
    <w:rsid w:val="004525F6"/>
    <w:rsid w:val="004623FB"/>
    <w:rsid w:val="0047073D"/>
    <w:rsid w:val="004711A5"/>
    <w:rsid w:val="0047746F"/>
    <w:rsid w:val="00480606"/>
    <w:rsid w:val="00483602"/>
    <w:rsid w:val="004935BB"/>
    <w:rsid w:val="004D7B57"/>
    <w:rsid w:val="004F01E2"/>
    <w:rsid w:val="00512F91"/>
    <w:rsid w:val="005148DA"/>
    <w:rsid w:val="005426B7"/>
    <w:rsid w:val="00557A23"/>
    <w:rsid w:val="0056093B"/>
    <w:rsid w:val="005849D5"/>
    <w:rsid w:val="005906E7"/>
    <w:rsid w:val="005922F2"/>
    <w:rsid w:val="005A1B14"/>
    <w:rsid w:val="005B0F0F"/>
    <w:rsid w:val="005B14F0"/>
    <w:rsid w:val="005C3FC7"/>
    <w:rsid w:val="005C484C"/>
    <w:rsid w:val="005D335A"/>
    <w:rsid w:val="005F0667"/>
    <w:rsid w:val="006026A2"/>
    <w:rsid w:val="006038F6"/>
    <w:rsid w:val="006146E2"/>
    <w:rsid w:val="006161A9"/>
    <w:rsid w:val="006204B9"/>
    <w:rsid w:val="00625DEF"/>
    <w:rsid w:val="00630BEF"/>
    <w:rsid w:val="00641252"/>
    <w:rsid w:val="00651FF1"/>
    <w:rsid w:val="0065792C"/>
    <w:rsid w:val="00663746"/>
    <w:rsid w:val="0067021B"/>
    <w:rsid w:val="0067438F"/>
    <w:rsid w:val="00677246"/>
    <w:rsid w:val="0068250C"/>
    <w:rsid w:val="006910AC"/>
    <w:rsid w:val="00694CA5"/>
    <w:rsid w:val="006B17E6"/>
    <w:rsid w:val="006B4DCB"/>
    <w:rsid w:val="006B5E26"/>
    <w:rsid w:val="006B784F"/>
    <w:rsid w:val="006C06EB"/>
    <w:rsid w:val="006D0D4B"/>
    <w:rsid w:val="006D67C6"/>
    <w:rsid w:val="006E635B"/>
    <w:rsid w:val="00711312"/>
    <w:rsid w:val="0072092C"/>
    <w:rsid w:val="0072645B"/>
    <w:rsid w:val="00734D22"/>
    <w:rsid w:val="00742667"/>
    <w:rsid w:val="0074548B"/>
    <w:rsid w:val="0074674F"/>
    <w:rsid w:val="00752051"/>
    <w:rsid w:val="00752697"/>
    <w:rsid w:val="00755424"/>
    <w:rsid w:val="00756A01"/>
    <w:rsid w:val="007618CB"/>
    <w:rsid w:val="00775F62"/>
    <w:rsid w:val="00776ABB"/>
    <w:rsid w:val="00786637"/>
    <w:rsid w:val="00793B07"/>
    <w:rsid w:val="00794C03"/>
    <w:rsid w:val="007A1B81"/>
    <w:rsid w:val="007B37C4"/>
    <w:rsid w:val="007C01E0"/>
    <w:rsid w:val="007C1BA4"/>
    <w:rsid w:val="007D66B7"/>
    <w:rsid w:val="007E131B"/>
    <w:rsid w:val="007E5181"/>
    <w:rsid w:val="007F4D48"/>
    <w:rsid w:val="007F598D"/>
    <w:rsid w:val="007F74A4"/>
    <w:rsid w:val="008030CB"/>
    <w:rsid w:val="008062FB"/>
    <w:rsid w:val="008115B8"/>
    <w:rsid w:val="008144C4"/>
    <w:rsid w:val="008266A7"/>
    <w:rsid w:val="00850F95"/>
    <w:rsid w:val="00864FAB"/>
    <w:rsid w:val="00867637"/>
    <w:rsid w:val="00870B5F"/>
    <w:rsid w:val="0087309A"/>
    <w:rsid w:val="008774B8"/>
    <w:rsid w:val="00880A76"/>
    <w:rsid w:val="008A1599"/>
    <w:rsid w:val="008A6F52"/>
    <w:rsid w:val="008C2FCC"/>
    <w:rsid w:val="008C6803"/>
    <w:rsid w:val="008D2EAE"/>
    <w:rsid w:val="008F0220"/>
    <w:rsid w:val="008F2D00"/>
    <w:rsid w:val="008F761A"/>
    <w:rsid w:val="009178CC"/>
    <w:rsid w:val="0093220F"/>
    <w:rsid w:val="00937882"/>
    <w:rsid w:val="009627C4"/>
    <w:rsid w:val="0097360B"/>
    <w:rsid w:val="0097676C"/>
    <w:rsid w:val="00980D48"/>
    <w:rsid w:val="0098339B"/>
    <w:rsid w:val="009A19BB"/>
    <w:rsid w:val="009B500E"/>
    <w:rsid w:val="009C1B11"/>
    <w:rsid w:val="009C3FC7"/>
    <w:rsid w:val="009C4F06"/>
    <w:rsid w:val="009E02F7"/>
    <w:rsid w:val="009E232B"/>
    <w:rsid w:val="00A00AC5"/>
    <w:rsid w:val="00A02F87"/>
    <w:rsid w:val="00A06F6A"/>
    <w:rsid w:val="00A607BC"/>
    <w:rsid w:val="00A7591C"/>
    <w:rsid w:val="00A84908"/>
    <w:rsid w:val="00AA456E"/>
    <w:rsid w:val="00AC3689"/>
    <w:rsid w:val="00AE64A2"/>
    <w:rsid w:val="00AF086F"/>
    <w:rsid w:val="00AF0EEE"/>
    <w:rsid w:val="00B23308"/>
    <w:rsid w:val="00B4768D"/>
    <w:rsid w:val="00B47BEE"/>
    <w:rsid w:val="00B553FC"/>
    <w:rsid w:val="00B57502"/>
    <w:rsid w:val="00B61032"/>
    <w:rsid w:val="00B6700D"/>
    <w:rsid w:val="00B73840"/>
    <w:rsid w:val="00B8051D"/>
    <w:rsid w:val="00B963C6"/>
    <w:rsid w:val="00BA0A98"/>
    <w:rsid w:val="00BA3E42"/>
    <w:rsid w:val="00BE0263"/>
    <w:rsid w:val="00BE0D8E"/>
    <w:rsid w:val="00BE1EFE"/>
    <w:rsid w:val="00BF0E74"/>
    <w:rsid w:val="00C1468D"/>
    <w:rsid w:val="00C22ECC"/>
    <w:rsid w:val="00C23F52"/>
    <w:rsid w:val="00C24A14"/>
    <w:rsid w:val="00C262AE"/>
    <w:rsid w:val="00C3055B"/>
    <w:rsid w:val="00C43ECD"/>
    <w:rsid w:val="00C451BB"/>
    <w:rsid w:val="00C53CC0"/>
    <w:rsid w:val="00C72BBB"/>
    <w:rsid w:val="00C872A5"/>
    <w:rsid w:val="00C9099C"/>
    <w:rsid w:val="00CA4EB8"/>
    <w:rsid w:val="00CB3B6B"/>
    <w:rsid w:val="00CC2268"/>
    <w:rsid w:val="00CD2AD5"/>
    <w:rsid w:val="00CE2C8B"/>
    <w:rsid w:val="00CE33CC"/>
    <w:rsid w:val="00CE74B4"/>
    <w:rsid w:val="00CF3922"/>
    <w:rsid w:val="00D01EBE"/>
    <w:rsid w:val="00D077E7"/>
    <w:rsid w:val="00D16925"/>
    <w:rsid w:val="00D23525"/>
    <w:rsid w:val="00D5657E"/>
    <w:rsid w:val="00D57125"/>
    <w:rsid w:val="00D61746"/>
    <w:rsid w:val="00D676E9"/>
    <w:rsid w:val="00D801F0"/>
    <w:rsid w:val="00D92276"/>
    <w:rsid w:val="00DA1D03"/>
    <w:rsid w:val="00DA241A"/>
    <w:rsid w:val="00DA2A46"/>
    <w:rsid w:val="00DB112B"/>
    <w:rsid w:val="00DB40EA"/>
    <w:rsid w:val="00DB5171"/>
    <w:rsid w:val="00DB51FF"/>
    <w:rsid w:val="00DC1B2F"/>
    <w:rsid w:val="00DC6223"/>
    <w:rsid w:val="00DD3A06"/>
    <w:rsid w:val="00DE4212"/>
    <w:rsid w:val="00DE6523"/>
    <w:rsid w:val="00E133CE"/>
    <w:rsid w:val="00E14B12"/>
    <w:rsid w:val="00E1579A"/>
    <w:rsid w:val="00E17DB3"/>
    <w:rsid w:val="00E30A71"/>
    <w:rsid w:val="00E31A2A"/>
    <w:rsid w:val="00E32E4E"/>
    <w:rsid w:val="00E375A2"/>
    <w:rsid w:val="00E44410"/>
    <w:rsid w:val="00E5257C"/>
    <w:rsid w:val="00E52BD1"/>
    <w:rsid w:val="00E65C98"/>
    <w:rsid w:val="00E7367D"/>
    <w:rsid w:val="00E84596"/>
    <w:rsid w:val="00E84DC1"/>
    <w:rsid w:val="00E879A0"/>
    <w:rsid w:val="00E90C7C"/>
    <w:rsid w:val="00E96485"/>
    <w:rsid w:val="00EA4826"/>
    <w:rsid w:val="00EB5917"/>
    <w:rsid w:val="00EC4EFB"/>
    <w:rsid w:val="00ED7AC4"/>
    <w:rsid w:val="00EF70A3"/>
    <w:rsid w:val="00F0407D"/>
    <w:rsid w:val="00F074E4"/>
    <w:rsid w:val="00F11803"/>
    <w:rsid w:val="00F1322B"/>
    <w:rsid w:val="00F15A1A"/>
    <w:rsid w:val="00F52FED"/>
    <w:rsid w:val="00F60AF4"/>
    <w:rsid w:val="00F60BCF"/>
    <w:rsid w:val="00F71B86"/>
    <w:rsid w:val="00F74B00"/>
    <w:rsid w:val="00F80CBF"/>
    <w:rsid w:val="00F85673"/>
    <w:rsid w:val="00F940A0"/>
    <w:rsid w:val="00F956A7"/>
    <w:rsid w:val="00FA7EF5"/>
    <w:rsid w:val="00FB3300"/>
    <w:rsid w:val="00FC519C"/>
    <w:rsid w:val="00FD186E"/>
    <w:rsid w:val="00FD1B86"/>
    <w:rsid w:val="00FD61D9"/>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76352C"/>
  <w15:docId w15:val="{87E10F17-6308-4821-83C5-50EB172D5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Default Paragraph Font" w:uiPriority="1"/>
    <w:lsdException w:name="Subtitle" w:uiPriority="99"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69AE"/>
    <w:pPr>
      <w:spacing w:after="120"/>
      <w:jc w:val="both"/>
    </w:pPr>
    <w:rPr>
      <w:rFonts w:ascii="Arial" w:hAnsi="Arial"/>
      <w:szCs w:val="24"/>
    </w:rPr>
  </w:style>
  <w:style w:type="paragraph" w:styleId="Heading1">
    <w:name w:val="heading 1"/>
    <w:aliases w:val="Level 1 Para,Level 1 Para1,Level 1 Para11,Level 1 Para12,Level 1 Para13,Level 1 Para2,Level 1 Para21,Level 1 Para22,Level 1 Para23,Level 1 Para3,Level 1 Para31,Level 1 Para32,Level 1 Para4,Level 1 Para5,Level 1 Para6,Para1,ParaLevel1,Top 1,h1"/>
    <w:basedOn w:val="Normal"/>
    <w:next w:val="Normal"/>
    <w:link w:val="Heading1Char"/>
    <w:qFormat/>
    <w:rsid w:val="003869AE"/>
    <w:pPr>
      <w:keepNext/>
      <w:numPr>
        <w:numId w:val="32"/>
      </w:numPr>
      <w:spacing w:before="240" w:after="60"/>
      <w:outlineLvl w:val="0"/>
    </w:pPr>
    <w:rPr>
      <w:rFonts w:cs="Arial"/>
      <w:b/>
      <w:bCs/>
      <w:kern w:val="32"/>
      <w:sz w:val="32"/>
      <w:szCs w:val="32"/>
    </w:rPr>
  </w:style>
  <w:style w:type="paragraph" w:styleId="Heading2">
    <w:name w:val="heading 2"/>
    <w:aliases w:val="1.,2 headline,B Sub/Bold,B Sub/Bold1,B Sub/Bold11,B Sub/Bold12,B Sub/Bold13,B Sub/Bold2,B Sub/Bold3,B Sub/Bold4,H2,Head hdbk,Para 2,Para2,SubPara,Top 2,a.,a.1,a.2,body,h,h2,h2 main heading,h2 main heading1,h2 main heading2,h2 main heading3,sub"/>
    <w:basedOn w:val="Normal"/>
    <w:next w:val="Normal"/>
    <w:link w:val="Heading2Char"/>
    <w:unhideWhenUsed/>
    <w:qFormat/>
    <w:rsid w:val="003869AE"/>
    <w:pPr>
      <w:keepNext/>
      <w:keepLines/>
      <w:spacing w:before="200" w:after="0"/>
      <w:outlineLvl w:val="1"/>
    </w:pPr>
    <w:rPr>
      <w:rFonts w:ascii="Cambria" w:hAnsi="Cambria"/>
      <w:b/>
      <w:bCs/>
      <w:color w:val="4F81BD"/>
      <w:sz w:val="26"/>
      <w:szCs w:val="26"/>
    </w:rPr>
  </w:style>
  <w:style w:type="paragraph" w:styleId="Heading3">
    <w:name w:val="heading 3"/>
    <w:aliases w:val="(1),3,C Sub-Sub/Italic,C Sub-Sub/Italic1,H3,Head 3,Head 31,Head 32,Major Sections,Para 3,Para3,Sub2Para,h3,h3 sub heading,head3hdbk,subsub"/>
    <w:basedOn w:val="Normal"/>
    <w:next w:val="Normal"/>
    <w:link w:val="Heading3Char"/>
    <w:uiPriority w:val="9"/>
    <w:qFormat/>
    <w:rsid w:val="00EF70A3"/>
    <w:pPr>
      <w:keepNext/>
      <w:keepLines/>
      <w:spacing w:before="120" w:after="60"/>
      <w:outlineLvl w:val="2"/>
    </w:pPr>
    <w:rPr>
      <w:b/>
      <w:bCs/>
      <w:i/>
      <w:color w:val="CF4520"/>
      <w:sz w:val="24"/>
    </w:rPr>
  </w:style>
  <w:style w:type="paragraph" w:styleId="Heading4">
    <w:name w:val="heading 4"/>
    <w:aliases w:val="(a),Para4,h4,headhbk"/>
    <w:basedOn w:val="Normal"/>
    <w:next w:val="Normal"/>
    <w:link w:val="Heading4Char"/>
    <w:uiPriority w:val="9"/>
    <w:qFormat/>
    <w:rsid w:val="00EF70A3"/>
    <w:pPr>
      <w:keepNext/>
      <w:keepLines/>
      <w:spacing w:before="200" w:after="60"/>
      <w:outlineLvl w:val="3"/>
    </w:pPr>
    <w:rPr>
      <w:b/>
      <w:bCs/>
      <w:i/>
      <w:iCs/>
    </w:rPr>
  </w:style>
  <w:style w:type="paragraph" w:styleId="Heading5">
    <w:name w:val="heading 5"/>
    <w:aliases w:val="1.1.1.1.1,H,Para5,i.,subsubpara"/>
    <w:basedOn w:val="Normal"/>
    <w:next w:val="Normal"/>
    <w:qFormat/>
    <w:rsid w:val="009B20A8"/>
    <w:pPr>
      <w:numPr>
        <w:ilvl w:val="4"/>
        <w:numId w:val="7"/>
      </w:numPr>
      <w:spacing w:before="240" w:after="60"/>
      <w:outlineLvl w:val="4"/>
    </w:pPr>
    <w:rPr>
      <w:b/>
      <w:bCs/>
      <w:iCs/>
      <w:szCs w:val="26"/>
    </w:rPr>
  </w:style>
  <w:style w:type="paragraph" w:styleId="Heading6">
    <w:name w:val="heading 6"/>
    <w:aliases w:val="5,Spare2,sd,sub-dash"/>
    <w:basedOn w:val="Normal"/>
    <w:next w:val="Normal"/>
    <w:qFormat/>
    <w:rsid w:val="009B20A8"/>
    <w:pPr>
      <w:numPr>
        <w:ilvl w:val="5"/>
        <w:numId w:val="7"/>
      </w:numPr>
      <w:spacing w:before="240" w:after="60"/>
      <w:outlineLvl w:val="5"/>
    </w:pPr>
    <w:rPr>
      <w:rFonts w:ascii="Times New Roman" w:hAnsi="Times New Roman"/>
      <w:b/>
      <w:bCs/>
      <w:sz w:val="22"/>
    </w:rPr>
  </w:style>
  <w:style w:type="paragraph" w:styleId="Heading7">
    <w:name w:val="heading 7"/>
    <w:aliases w:val="7,H7,Heading 7 Char,Heading 7 Char Char Char1,Heading 7 Char Char Char1 Char Char Char1,Heading 7 Char1 Char1,Heading 7 Char1 Char1 Char Char Char1,Legal Level 1.1.,Response Alpha,Response Numeral,Spare3,h7"/>
    <w:basedOn w:val="Normal"/>
    <w:next w:val="Normal"/>
    <w:qFormat/>
    <w:rsid w:val="009B20A8"/>
    <w:pPr>
      <w:numPr>
        <w:ilvl w:val="6"/>
        <w:numId w:val="7"/>
      </w:numPr>
      <w:spacing w:before="240" w:after="60"/>
      <w:outlineLvl w:val="6"/>
    </w:pPr>
    <w:rPr>
      <w:rFonts w:ascii="Times New Roman" w:hAnsi="Times New Roman"/>
      <w:sz w:val="24"/>
    </w:rPr>
  </w:style>
  <w:style w:type="paragraph" w:styleId="Heading8">
    <w:name w:val="heading 8"/>
    <w:aliases w:val="Spare4"/>
    <w:basedOn w:val="Normal"/>
    <w:next w:val="Normal"/>
    <w:qFormat/>
    <w:rsid w:val="009B20A8"/>
    <w:pPr>
      <w:numPr>
        <w:ilvl w:val="7"/>
        <w:numId w:val="7"/>
      </w:numPr>
      <w:spacing w:before="240" w:after="60"/>
      <w:outlineLvl w:val="7"/>
    </w:pPr>
    <w:rPr>
      <w:rFonts w:ascii="Times New Roman" w:hAnsi="Times New Roman"/>
      <w:i/>
      <w:iCs/>
      <w:sz w:val="24"/>
    </w:rPr>
  </w:style>
  <w:style w:type="paragraph" w:styleId="Heading9">
    <w:name w:val="heading 9"/>
    <w:aliases w:val="Spare5"/>
    <w:basedOn w:val="Normal"/>
    <w:next w:val="Normal"/>
    <w:qFormat/>
    <w:rsid w:val="009B20A8"/>
    <w:pPr>
      <w:numPr>
        <w:ilvl w:val="8"/>
        <w:numId w:val="7"/>
      </w:numPr>
      <w:spacing w:before="240" w:after="60"/>
      <w:outlineLvl w:val="8"/>
    </w:pPr>
    <w:rPr>
      <w:rFonts w:cs="Arial"/>
      <w:sz w:val="22"/>
    </w:rPr>
  </w:style>
  <w:style w:type="character" w:default="1" w:styleId="DefaultParagraphFont">
    <w:name w:val="Default Paragraph Font"/>
    <w:uiPriority w:val="1"/>
    <w:semiHidden/>
    <w:unhideWhenUsed/>
    <w:rsid w:val="003869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69AE"/>
  </w:style>
  <w:style w:type="character" w:customStyle="1" w:styleId="Heading2Char">
    <w:name w:val="Heading 2 Char"/>
    <w:aliases w:val="1. Char,2 headline Char,B Sub/Bold Char,B Sub/Bold1 Char,B Sub/Bold11 Char,B Sub/Bold12 Char,B Sub/Bold13 Char,B Sub/Bold2 Char,B Sub/Bold3 Char,B Sub/Bold4 Char,H2 Char,Head hdbk Char,Para 2 Char,Para2 Char,SubPara Char,Top 2 Char,h Char"/>
    <w:link w:val="Heading2"/>
    <w:rsid w:val="003869AE"/>
    <w:rPr>
      <w:rFonts w:ascii="Cambria" w:hAnsi="Cambria"/>
      <w:b/>
      <w:bCs/>
      <w:color w:val="4F81BD"/>
      <w:sz w:val="26"/>
      <w:szCs w:val="26"/>
    </w:rPr>
  </w:style>
  <w:style w:type="paragraph" w:styleId="BodyText">
    <w:name w:val="Body Text"/>
    <w:basedOn w:val="Normal"/>
    <w:rsid w:val="009B20A8"/>
  </w:style>
  <w:style w:type="paragraph" w:customStyle="1" w:styleId="Figure">
    <w:name w:val="Figure"/>
    <w:basedOn w:val="Normal"/>
    <w:semiHidden/>
    <w:rPr>
      <w:sz w:val="28"/>
    </w:rPr>
  </w:style>
  <w:style w:type="paragraph" w:customStyle="1" w:styleId="Unpara1">
    <w:name w:val="Unpara1"/>
    <w:basedOn w:val="Normal"/>
    <w:semiHidden/>
    <w:rPr>
      <w:sz w:val="24"/>
    </w:rPr>
  </w:style>
  <w:style w:type="character" w:styleId="CommentReference">
    <w:name w:val="annotation reference"/>
    <w:uiPriority w:val="99"/>
    <w:semiHidden/>
    <w:rPr>
      <w:sz w:val="16"/>
    </w:rPr>
  </w:style>
  <w:style w:type="paragraph" w:styleId="CommentText">
    <w:name w:val="annotation text"/>
    <w:basedOn w:val="Normal"/>
    <w:link w:val="CommentTextChar"/>
    <w:semiHidden/>
    <w:rsid w:val="007646E2"/>
    <w:rPr>
      <w:sz w:val="16"/>
    </w:rPr>
  </w:style>
  <w:style w:type="character" w:styleId="PageNumber">
    <w:name w:val="page number"/>
    <w:basedOn w:val="DefaultParagraphFont"/>
  </w:style>
  <w:style w:type="paragraph" w:styleId="Header">
    <w:name w:val="header"/>
    <w:basedOn w:val="Normal"/>
    <w:pPr>
      <w:tabs>
        <w:tab w:val="right" w:pos="9090"/>
      </w:tabs>
      <w:spacing w:after="0"/>
      <w:ind w:left="864" w:hanging="864"/>
      <w:jc w:val="left"/>
    </w:pPr>
    <w:rPr>
      <w:rFonts w:cs="Arial"/>
      <w:sz w:val="16"/>
      <w:lang w:val="en-US"/>
    </w:rPr>
  </w:style>
  <w:style w:type="paragraph" w:styleId="Footer">
    <w:name w:val="footer"/>
    <w:basedOn w:val="Normal"/>
    <w:semiHidden/>
    <w:pPr>
      <w:tabs>
        <w:tab w:val="right" w:pos="9090"/>
        <w:tab w:val="right" w:pos="14580"/>
      </w:tabs>
      <w:spacing w:after="0"/>
      <w:jc w:val="left"/>
    </w:pPr>
    <w:rPr>
      <w:rFonts w:cs="Arial"/>
      <w:snapToGrid w:val="0"/>
      <w:sz w:val="16"/>
      <w:lang w:val="en-US"/>
    </w:rPr>
  </w:style>
  <w:style w:type="paragraph" w:customStyle="1" w:styleId="ListType1">
    <w:name w:val="List Type 1"/>
    <w:basedOn w:val="Normal"/>
    <w:semiHidden/>
    <w:pPr>
      <w:spacing w:after="200"/>
      <w:ind w:left="1854" w:right="1008" w:hanging="720"/>
    </w:pPr>
    <w:rPr>
      <w:sz w:val="24"/>
    </w:rPr>
  </w:style>
  <w:style w:type="paragraph" w:customStyle="1" w:styleId="Tag">
    <w:name w:val="Tag"/>
    <w:basedOn w:val="Normal"/>
    <w:semiHidden/>
    <w:pPr>
      <w:keepNext/>
    </w:pPr>
  </w:style>
  <w:style w:type="paragraph" w:customStyle="1" w:styleId="AnnexList">
    <w:name w:val="AnnexList"/>
    <w:basedOn w:val="Normal"/>
    <w:semiHidden/>
    <w:pPr>
      <w:ind w:left="641" w:hanging="641"/>
    </w:pPr>
  </w:style>
  <w:style w:type="character" w:styleId="Hyperlink">
    <w:name w:val="Hyperlink"/>
    <w:uiPriority w:val="99"/>
    <w:unhideWhenUsed/>
    <w:rsid w:val="003869AE"/>
    <w:rPr>
      <w:color w:val="0000FF"/>
      <w:u w:val="single"/>
    </w:rPr>
  </w:style>
  <w:style w:type="paragraph" w:styleId="BodyTextIndent2">
    <w:name w:val="Body Text Indent 2"/>
    <w:basedOn w:val="Normal"/>
    <w:semiHidden/>
    <w:pPr>
      <w:ind w:left="1440"/>
    </w:pPr>
    <w:rPr>
      <w:sz w:val="24"/>
    </w:rPr>
  </w:style>
  <w:style w:type="character" w:styleId="FollowedHyperlink">
    <w:name w:val="FollowedHyperlink"/>
    <w:semiHidden/>
    <w:rPr>
      <w:color w:val="800080"/>
      <w:u w:val="single"/>
    </w:rPr>
  </w:style>
  <w:style w:type="paragraph" w:styleId="BlockText">
    <w:name w:val="Block Text"/>
    <w:basedOn w:val="Normal"/>
    <w:semiHidden/>
    <w:pPr>
      <w:spacing w:after="240"/>
      <w:ind w:left="2127" w:right="238" w:hanging="2127"/>
    </w:pPr>
    <w:rPr>
      <w:sz w:val="24"/>
    </w:rPr>
  </w:style>
  <w:style w:type="paragraph" w:styleId="BodyText2">
    <w:name w:val="Body Text 2"/>
    <w:basedOn w:val="Normal"/>
    <w:semiHidden/>
    <w:rsid w:val="009244CF"/>
    <w:pPr>
      <w:ind w:left="720" w:hanging="720"/>
    </w:pPr>
    <w:rPr>
      <w:b/>
      <w:sz w:val="24"/>
    </w:rPr>
  </w:style>
  <w:style w:type="paragraph" w:styleId="BodyText3">
    <w:name w:val="Body Text 3"/>
    <w:basedOn w:val="Normal"/>
    <w:semiHidden/>
    <w:pPr>
      <w:spacing w:after="240"/>
    </w:pPr>
  </w:style>
  <w:style w:type="paragraph" w:styleId="DocumentMap">
    <w:name w:val="Document Map"/>
    <w:basedOn w:val="Normal"/>
    <w:semiHidden/>
    <w:pPr>
      <w:shd w:val="clear" w:color="auto" w:fill="000080"/>
    </w:pPr>
    <w:rPr>
      <w:rFonts w:ascii="Tahoma" w:hAnsi="Tahoma"/>
    </w:rPr>
  </w:style>
  <w:style w:type="paragraph" w:customStyle="1" w:styleId="Leg2Sec1">
    <w:name w:val="Leg2 Sec: 1."/>
    <w:basedOn w:val="Normal"/>
    <w:semiHidden/>
    <w:pPr>
      <w:spacing w:before="80" w:after="80" w:line="270" w:lineRule="atLeast"/>
      <w:ind w:left="1701" w:right="567" w:hanging="1134"/>
      <w:jc w:val="left"/>
    </w:pPr>
    <w:rPr>
      <w:rFonts w:ascii="Times" w:hAnsi="Times"/>
      <w:color w:val="000000"/>
      <w:sz w:val="22"/>
    </w:rPr>
  </w:style>
  <w:style w:type="paragraph" w:customStyle="1" w:styleId="NormalBase">
    <w:name w:val="Normal Base"/>
    <w:semiHidden/>
    <w:pPr>
      <w:tabs>
        <w:tab w:val="left" w:pos="567"/>
      </w:tabs>
      <w:spacing w:before="120" w:after="120" w:line="300" w:lineRule="atLeast"/>
      <w:jc w:val="both"/>
    </w:pPr>
    <w:rPr>
      <w:rFonts w:ascii="Times" w:hAnsi="Times"/>
      <w:sz w:val="24"/>
      <w:lang w:eastAsia="en-US"/>
    </w:rPr>
  </w:style>
  <w:style w:type="paragraph" w:customStyle="1" w:styleId="bullet20">
    <w:name w:val="bullet 2"/>
    <w:basedOn w:val="Normal"/>
    <w:semiHidden/>
    <w:pPr>
      <w:tabs>
        <w:tab w:val="left" w:pos="717"/>
      </w:tabs>
      <w:spacing w:before="120" w:after="0"/>
      <w:ind w:left="717" w:hanging="360"/>
      <w:jc w:val="left"/>
    </w:pPr>
    <w:rPr>
      <w:color w:val="000000"/>
      <w:sz w:val="26"/>
      <w:lang w:val="en-US"/>
    </w:rPr>
  </w:style>
  <w:style w:type="paragraph" w:styleId="ListBullet">
    <w:name w:val="List Bullet"/>
    <w:basedOn w:val="Normal"/>
    <w:semiHidden/>
    <w:pPr>
      <w:widowControl w:val="0"/>
      <w:spacing w:after="220"/>
      <w:jc w:val="left"/>
    </w:pPr>
    <w:rPr>
      <w:rFonts w:ascii="Times New Roman" w:hAnsi="Times New Roman"/>
      <w:sz w:val="22"/>
    </w:rPr>
  </w:style>
  <w:style w:type="paragraph" w:styleId="FootnoteText">
    <w:name w:val="footnote text"/>
    <w:basedOn w:val="Normal"/>
    <w:semiHidden/>
    <w:rsid w:val="003869AE"/>
    <w:rPr>
      <w:szCs w:val="20"/>
    </w:rPr>
  </w:style>
  <w:style w:type="character" w:styleId="FootnoteReference">
    <w:name w:val="footnote reference"/>
    <w:semiHidden/>
    <w:rPr>
      <w:vertAlign w:val="superscript"/>
    </w:rPr>
  </w:style>
  <w:style w:type="paragraph" w:customStyle="1" w:styleId="Bullet">
    <w:name w:val="Bullet"/>
    <w:basedOn w:val="ListParagraph"/>
    <w:qFormat/>
    <w:rsid w:val="00EF70A3"/>
    <w:pPr>
      <w:numPr>
        <w:numId w:val="44"/>
      </w:numPr>
      <w:tabs>
        <w:tab w:val="left" w:pos="567"/>
      </w:tabs>
      <w:jc w:val="left"/>
    </w:pPr>
  </w:style>
  <w:style w:type="paragraph" w:customStyle="1" w:styleId="ParagraphText">
    <w:name w:val="Paragraph Text"/>
    <w:semiHidden/>
    <w:pPr>
      <w:widowControl w:val="0"/>
      <w:jc w:val="both"/>
    </w:pPr>
    <w:rPr>
      <w:rFonts w:ascii="Arial" w:hAnsi="Arial"/>
      <w:sz w:val="18"/>
      <w:lang w:eastAsia="en-US"/>
    </w:rPr>
  </w:style>
  <w:style w:type="paragraph" w:styleId="EndnoteText">
    <w:name w:val="endnote text"/>
    <w:basedOn w:val="Normal"/>
    <w:semiHidden/>
    <w:rsid w:val="009B20A8"/>
    <w:rPr>
      <w:szCs w:val="20"/>
    </w:rPr>
  </w:style>
  <w:style w:type="character" w:styleId="EndnoteReference">
    <w:name w:val="endnote reference"/>
    <w:semiHidden/>
    <w:rPr>
      <w:vertAlign w:val="superscript"/>
    </w:rPr>
  </w:style>
  <w:style w:type="paragraph" w:styleId="ListNumber2">
    <w:name w:val="List Number 2"/>
    <w:basedOn w:val="Normal"/>
    <w:semiHidden/>
    <w:pPr>
      <w:tabs>
        <w:tab w:val="left" w:pos="0"/>
        <w:tab w:val="left" w:pos="851"/>
        <w:tab w:val="left"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sz w:val="24"/>
    </w:rPr>
  </w:style>
  <w:style w:type="paragraph" w:styleId="BodyTextIndent3">
    <w:name w:val="Body Text Indent 3"/>
    <w:basedOn w:val="Normal"/>
    <w:semiHidden/>
    <w:pPr>
      <w:spacing w:after="0"/>
      <w:ind w:left="1418" w:hanging="851"/>
      <w:jc w:val="left"/>
    </w:pPr>
    <w:rPr>
      <w:rFonts w:ascii="Times New Roman" w:hAnsi="Times New Roman"/>
      <w:lang w:val="en-US"/>
    </w:rPr>
  </w:style>
  <w:style w:type="paragraph" w:styleId="TOC1">
    <w:name w:val="toc 1"/>
    <w:next w:val="ASDEFCONNormal"/>
    <w:autoRedefine/>
    <w:uiPriority w:val="39"/>
    <w:rsid w:val="003869AE"/>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3869AE"/>
    <w:pPr>
      <w:spacing w:after="120"/>
      <w:jc w:val="both"/>
    </w:pPr>
    <w:rPr>
      <w:rFonts w:ascii="Arial" w:hAnsi="Arial"/>
      <w:color w:val="000000"/>
      <w:szCs w:val="40"/>
    </w:rPr>
  </w:style>
  <w:style w:type="character" w:customStyle="1" w:styleId="ASDEFCONNormalChar">
    <w:name w:val="ASDEFCON Normal Char"/>
    <w:link w:val="ASDEFCONNormal"/>
    <w:rsid w:val="003869AE"/>
    <w:rPr>
      <w:rFonts w:ascii="Arial" w:hAnsi="Arial"/>
      <w:color w:val="000000"/>
      <w:szCs w:val="40"/>
    </w:rPr>
  </w:style>
  <w:style w:type="paragraph" w:styleId="TOC2">
    <w:name w:val="toc 2"/>
    <w:next w:val="ASDEFCONNormal"/>
    <w:autoRedefine/>
    <w:uiPriority w:val="39"/>
    <w:rsid w:val="003869AE"/>
    <w:pPr>
      <w:spacing w:after="60"/>
      <w:ind w:left="1417" w:hanging="850"/>
    </w:pPr>
    <w:rPr>
      <w:rFonts w:ascii="Arial" w:hAnsi="Arial" w:cs="Arial"/>
      <w:szCs w:val="24"/>
    </w:rPr>
  </w:style>
  <w:style w:type="paragraph" w:styleId="TOC3">
    <w:name w:val="toc 3"/>
    <w:basedOn w:val="Normal"/>
    <w:next w:val="Normal"/>
    <w:autoRedefine/>
    <w:rsid w:val="003869AE"/>
    <w:pPr>
      <w:spacing w:after="100"/>
      <w:ind w:left="400"/>
    </w:pPr>
  </w:style>
  <w:style w:type="paragraph" w:styleId="TOC4">
    <w:name w:val="toc 4"/>
    <w:basedOn w:val="Normal"/>
    <w:next w:val="Normal"/>
    <w:autoRedefine/>
    <w:rsid w:val="003869AE"/>
    <w:pPr>
      <w:spacing w:after="100"/>
      <w:ind w:left="600"/>
    </w:pPr>
  </w:style>
  <w:style w:type="paragraph" w:styleId="TOC5">
    <w:name w:val="toc 5"/>
    <w:basedOn w:val="Normal"/>
    <w:next w:val="Normal"/>
    <w:autoRedefine/>
    <w:rsid w:val="003869AE"/>
    <w:pPr>
      <w:spacing w:after="100"/>
      <w:ind w:left="800"/>
    </w:pPr>
  </w:style>
  <w:style w:type="paragraph" w:styleId="TOC6">
    <w:name w:val="toc 6"/>
    <w:basedOn w:val="Normal"/>
    <w:next w:val="Normal"/>
    <w:autoRedefine/>
    <w:rsid w:val="003869AE"/>
    <w:pPr>
      <w:spacing w:after="100"/>
      <w:ind w:left="1000"/>
    </w:pPr>
  </w:style>
  <w:style w:type="paragraph" w:styleId="TOC7">
    <w:name w:val="toc 7"/>
    <w:basedOn w:val="Normal"/>
    <w:next w:val="Normal"/>
    <w:autoRedefine/>
    <w:rsid w:val="003869AE"/>
    <w:pPr>
      <w:spacing w:after="100"/>
      <w:ind w:left="1200"/>
    </w:pPr>
  </w:style>
  <w:style w:type="paragraph" w:styleId="TOC8">
    <w:name w:val="toc 8"/>
    <w:basedOn w:val="Normal"/>
    <w:next w:val="Normal"/>
    <w:autoRedefine/>
    <w:rsid w:val="003869AE"/>
    <w:pPr>
      <w:spacing w:after="100"/>
      <w:ind w:left="1400"/>
    </w:pPr>
  </w:style>
  <w:style w:type="paragraph" w:styleId="TOC9">
    <w:name w:val="toc 9"/>
    <w:basedOn w:val="Normal"/>
    <w:next w:val="Normal"/>
    <w:autoRedefine/>
    <w:rsid w:val="003869AE"/>
    <w:pPr>
      <w:spacing w:after="100"/>
      <w:ind w:left="1600"/>
    </w:pPr>
  </w:style>
  <w:style w:type="paragraph" w:customStyle="1" w:styleId="Indent2">
    <w:name w:val="Indent 2"/>
    <w:basedOn w:val="Heading2"/>
    <w:semiHidden/>
    <w:rsid w:val="009244CF"/>
    <w:pPr>
      <w:tabs>
        <w:tab w:val="left" w:pos="360"/>
      </w:tabs>
      <w:ind w:left="737"/>
      <w:outlineLvl w:val="9"/>
    </w:pPr>
  </w:style>
  <w:style w:type="paragraph" w:styleId="BodyTextIndent">
    <w:name w:val="Body Text Indent"/>
    <w:basedOn w:val="Normal"/>
    <w:semiHidden/>
    <w:pPr>
      <w:ind w:left="851"/>
    </w:pPr>
    <w:rPr>
      <w:b/>
    </w:rPr>
  </w:style>
  <w:style w:type="paragraph" w:customStyle="1" w:styleId="spara">
    <w:name w:val="spara"/>
    <w:next w:val="Normal"/>
    <w:semiHidden/>
    <w:pPr>
      <w:numPr>
        <w:ilvl w:val="2"/>
        <w:numId w:val="1"/>
      </w:numPr>
      <w:tabs>
        <w:tab w:val="clear" w:pos="720"/>
        <w:tab w:val="num" w:pos="810"/>
      </w:tabs>
      <w:spacing w:after="120"/>
      <w:ind w:left="907" w:firstLine="0"/>
    </w:pPr>
    <w:rPr>
      <w:rFonts w:ascii="Arial" w:hAnsi="Arial"/>
      <w:noProof/>
      <w:lang w:eastAsia="en-US"/>
    </w:rPr>
  </w:style>
  <w:style w:type="paragraph" w:customStyle="1" w:styleId="Note">
    <w:name w:val="Note"/>
    <w:basedOn w:val="PlainText"/>
    <w:semiHidden/>
    <w:pPr>
      <w:keepNext/>
      <w:tabs>
        <w:tab w:val="left" w:pos="851"/>
      </w:tabs>
    </w:pPr>
    <w:rPr>
      <w:rFonts w:ascii="Arial" w:hAnsi="Arial"/>
      <w:b/>
      <w:i/>
      <w:lang w:eastAsia="en-US"/>
    </w:rPr>
  </w:style>
  <w:style w:type="paragraph" w:styleId="PlainText">
    <w:name w:val="Plain Text"/>
    <w:basedOn w:val="Normal"/>
    <w:semiHidden/>
    <w:rPr>
      <w:rFonts w:ascii="Courier New" w:hAnsi="Courier New"/>
    </w:rPr>
  </w:style>
  <w:style w:type="paragraph" w:customStyle="1" w:styleId="TextLevel2">
    <w:name w:val="Text Level 2"/>
    <w:basedOn w:val="Normal"/>
    <w:semiHidden/>
    <w:pPr>
      <w:numPr>
        <w:ilvl w:val="1"/>
        <w:numId w:val="4"/>
      </w:numPr>
    </w:pPr>
    <w:rPr>
      <w:lang w:val="en-US"/>
    </w:rPr>
  </w:style>
  <w:style w:type="paragraph" w:customStyle="1" w:styleId="NotetoDrafters">
    <w:name w:val="Note to Drafters"/>
    <w:basedOn w:val="Normal"/>
    <w:next w:val="Normal"/>
    <w:semiHidden/>
    <w:pPr>
      <w:shd w:val="clear" w:color="auto" w:fill="000000"/>
      <w:spacing w:after="0"/>
      <w:jc w:val="left"/>
    </w:pPr>
    <w:rPr>
      <w:b/>
      <w:i/>
    </w:rPr>
  </w:style>
  <w:style w:type="paragraph" w:customStyle="1" w:styleId="Notetotenderers">
    <w:name w:val="Note to tenderers"/>
    <w:basedOn w:val="Normal"/>
    <w:next w:val="Normal"/>
    <w:semiHidden/>
    <w:pPr>
      <w:shd w:val="pct20" w:color="auto" w:fill="FFFFFF"/>
      <w:spacing w:after="0"/>
    </w:pPr>
    <w:rPr>
      <w:b/>
      <w:i/>
      <w:lang w:val="en-US"/>
    </w:rPr>
  </w:style>
  <w:style w:type="paragraph" w:customStyle="1" w:styleId="Notetodrafters0">
    <w:name w:val="Note to drafters"/>
    <w:basedOn w:val="Normal"/>
    <w:semiHidden/>
    <w:pPr>
      <w:shd w:val="clear" w:color="auto" w:fill="000000"/>
    </w:pPr>
    <w:rPr>
      <w:b/>
      <w:i/>
      <w:lang w:val="en-US"/>
    </w:rPr>
  </w:style>
  <w:style w:type="paragraph" w:customStyle="1" w:styleId="Option">
    <w:name w:val="Option"/>
    <w:basedOn w:val="Normal"/>
    <w:next w:val="Normal"/>
    <w:semiHidden/>
    <w:pPr>
      <w:spacing w:before="120"/>
    </w:pPr>
    <w:rPr>
      <w:b/>
      <w:i/>
    </w:rPr>
  </w:style>
  <w:style w:type="paragraph" w:customStyle="1" w:styleId="NotetoTenderers0">
    <w:name w:val="Note to Tenderers"/>
    <w:basedOn w:val="Normal"/>
    <w:next w:val="Normal"/>
    <w:pPr>
      <w:shd w:val="pct15" w:color="auto" w:fill="FFFFFF"/>
      <w:spacing w:after="0"/>
      <w:jc w:val="left"/>
    </w:pPr>
    <w:rPr>
      <w:b/>
      <w:i/>
    </w:rPr>
  </w:style>
  <w:style w:type="paragraph" w:customStyle="1" w:styleId="AttachmentHeading">
    <w:name w:val="Attachment Heading"/>
    <w:basedOn w:val="Normal"/>
    <w:pPr>
      <w:spacing w:after="0"/>
      <w:jc w:val="center"/>
    </w:pPr>
    <w:rPr>
      <w:b/>
      <w:caps/>
      <w:lang w:val="en-US"/>
    </w:rPr>
  </w:style>
  <w:style w:type="paragraph" w:customStyle="1" w:styleId="FigureCaption">
    <w:name w:val="Figure Caption"/>
    <w:basedOn w:val="Normal"/>
    <w:semiHidden/>
    <w:pPr>
      <w:spacing w:after="0"/>
      <w:jc w:val="center"/>
    </w:pPr>
    <w:rPr>
      <w:rFonts w:ascii="Times New Roman" w:hAnsi="Times New Roman"/>
      <w:b/>
      <w:lang w:val="en-US"/>
    </w:rPr>
  </w:style>
  <w:style w:type="paragraph" w:customStyle="1" w:styleId="sspara">
    <w:name w:val="sspara"/>
    <w:next w:val="Normal"/>
    <w:semiHidden/>
    <w:pPr>
      <w:numPr>
        <w:ilvl w:val="3"/>
        <w:numId w:val="2"/>
      </w:numPr>
      <w:spacing w:after="120"/>
      <w:ind w:firstLine="576"/>
    </w:pPr>
    <w:rPr>
      <w:rFonts w:ascii="Arial" w:hAnsi="Arial"/>
      <w:noProof/>
      <w:lang w:eastAsia="en-US"/>
    </w:rPr>
  </w:style>
  <w:style w:type="paragraph" w:customStyle="1" w:styleId="TitleChapter">
    <w:name w:val="TitleChapter"/>
    <w:next w:val="TextLevel2"/>
    <w:semiHidden/>
    <w:pPr>
      <w:spacing w:before="240" w:after="120"/>
      <w:jc w:val="center"/>
    </w:pPr>
    <w:rPr>
      <w:rFonts w:ascii="Arial" w:hAnsi="Arial"/>
      <w:b/>
      <w:caps/>
      <w:noProof/>
      <w:lang w:eastAsia="en-US"/>
    </w:rPr>
  </w:style>
  <w:style w:type="paragraph" w:customStyle="1" w:styleId="Attachments">
    <w:name w:val="Attachments"/>
    <w:next w:val="Normal"/>
    <w:semiHidden/>
    <w:pPr>
      <w:numPr>
        <w:numId w:val="3"/>
      </w:numPr>
    </w:pPr>
    <w:rPr>
      <w:rFonts w:ascii="Arial" w:hAnsi="Arial"/>
      <w:noProof/>
      <w:lang w:eastAsia="en-US"/>
    </w:rPr>
  </w:style>
  <w:style w:type="table" w:styleId="TableGrid">
    <w:name w:val="Table Grid"/>
    <w:basedOn w:val="TableNormal"/>
    <w:uiPriority w:val="59"/>
    <w:rsid w:val="009B20A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9B20A8"/>
    <w:rPr>
      <w:b w:val="0"/>
    </w:rPr>
  </w:style>
  <w:style w:type="paragraph" w:styleId="CommentSubject">
    <w:name w:val="annotation subject"/>
    <w:basedOn w:val="CommentText"/>
    <w:next w:val="CommentText"/>
    <w:semiHidden/>
    <w:rsid w:val="00586F04"/>
    <w:rPr>
      <w:b/>
      <w:bCs/>
      <w:szCs w:val="20"/>
    </w:rPr>
  </w:style>
  <w:style w:type="paragraph" w:styleId="BalloonText">
    <w:name w:val="Balloon Text"/>
    <w:basedOn w:val="Normal"/>
    <w:autoRedefine/>
    <w:rsid w:val="007646E2"/>
    <w:rPr>
      <w:sz w:val="18"/>
      <w:szCs w:val="20"/>
    </w:rPr>
  </w:style>
  <w:style w:type="paragraph" w:styleId="Caption">
    <w:name w:val="caption"/>
    <w:basedOn w:val="Normal"/>
    <w:next w:val="Normal"/>
    <w:qFormat/>
    <w:rsid w:val="003869AE"/>
    <w:rPr>
      <w:b/>
      <w:bCs/>
      <w:szCs w:val="20"/>
    </w:rPr>
  </w:style>
  <w:style w:type="paragraph" w:customStyle="1" w:styleId="TextLevel3">
    <w:name w:val="Text Level 3"/>
    <w:next w:val="Normal"/>
    <w:link w:val="TextLevel3Char"/>
    <w:rsid w:val="00567D53"/>
    <w:pPr>
      <w:widowControl w:val="0"/>
      <w:tabs>
        <w:tab w:val="num" w:pos="907"/>
        <w:tab w:val="left" w:pos="1814"/>
      </w:tabs>
      <w:suppressAutoHyphens/>
      <w:spacing w:before="120" w:after="120"/>
      <w:ind w:left="907" w:hanging="907"/>
      <w:jc w:val="both"/>
    </w:pPr>
    <w:rPr>
      <w:rFonts w:ascii="Arial" w:eastAsia="Arial" w:hAnsi="Arial" w:cs="Arial"/>
      <w:lang w:val="en-GB" w:eastAsia="ar-SA"/>
    </w:rPr>
  </w:style>
  <w:style w:type="character" w:customStyle="1" w:styleId="TextLevel3Char">
    <w:name w:val="Text Level 3 Char"/>
    <w:link w:val="TextLevel3"/>
    <w:rsid w:val="00567D53"/>
    <w:rPr>
      <w:rFonts w:ascii="Arial" w:eastAsia="Arial" w:hAnsi="Arial" w:cs="Arial"/>
      <w:lang w:val="en-GB" w:eastAsia="ar-SA" w:bidi="ar-SA"/>
    </w:rPr>
  </w:style>
  <w:style w:type="paragraph" w:customStyle="1" w:styleId="Default">
    <w:name w:val="Default"/>
    <w:rsid w:val="00FD7351"/>
    <w:pPr>
      <w:autoSpaceDE w:val="0"/>
      <w:autoSpaceDN w:val="0"/>
      <w:adjustRightInd w:val="0"/>
    </w:pPr>
    <w:rPr>
      <w:rFonts w:ascii="Arial" w:eastAsia="SimSun" w:hAnsi="Arial" w:cs="Arial"/>
      <w:color w:val="000000"/>
      <w:sz w:val="24"/>
      <w:szCs w:val="24"/>
      <w:lang w:eastAsia="zh-CN"/>
    </w:rPr>
  </w:style>
  <w:style w:type="paragraph" w:styleId="ListBullet2">
    <w:name w:val="List Bullet 2"/>
    <w:basedOn w:val="Normal"/>
    <w:rsid w:val="00B31F07"/>
    <w:pPr>
      <w:numPr>
        <w:numId w:val="8"/>
      </w:numPr>
      <w:contextualSpacing/>
    </w:pPr>
  </w:style>
  <w:style w:type="paragraph" w:styleId="ListContinue">
    <w:name w:val="List Continue"/>
    <w:basedOn w:val="Normal"/>
    <w:rsid w:val="00B31F07"/>
    <w:pPr>
      <w:ind w:left="283"/>
      <w:contextualSpacing/>
    </w:pPr>
  </w:style>
  <w:style w:type="paragraph" w:styleId="Revision">
    <w:name w:val="Revision"/>
    <w:hidden/>
    <w:uiPriority w:val="99"/>
    <w:semiHidden/>
    <w:rsid w:val="00FC0E74"/>
    <w:rPr>
      <w:rFonts w:ascii="Arial" w:eastAsia="Calibri" w:hAnsi="Arial"/>
      <w:szCs w:val="22"/>
      <w:lang w:eastAsia="en-US"/>
    </w:rPr>
  </w:style>
  <w:style w:type="paragraph" w:customStyle="1" w:styleId="COTCOCLV2-ASDEFCON">
    <w:name w:val="COT/COC LV2 - ASDEFCON"/>
    <w:basedOn w:val="ASDEFCONNormal"/>
    <w:next w:val="COTCOCLV3-ASDEFCON"/>
    <w:rsid w:val="003869AE"/>
    <w:pPr>
      <w:keepNext/>
      <w:keepLines/>
      <w:numPr>
        <w:ilvl w:val="1"/>
        <w:numId w:val="9"/>
      </w:numPr>
      <w:pBdr>
        <w:bottom w:val="single" w:sz="4" w:space="1" w:color="auto"/>
      </w:pBdr>
    </w:pPr>
    <w:rPr>
      <w:b/>
    </w:rPr>
  </w:style>
  <w:style w:type="paragraph" w:customStyle="1" w:styleId="COTCOCLV3-ASDEFCON">
    <w:name w:val="COT/COC LV3 - ASDEFCON"/>
    <w:basedOn w:val="ASDEFCONNormal"/>
    <w:rsid w:val="003869AE"/>
    <w:pPr>
      <w:numPr>
        <w:ilvl w:val="2"/>
        <w:numId w:val="9"/>
      </w:numPr>
    </w:pPr>
  </w:style>
  <w:style w:type="paragraph" w:customStyle="1" w:styleId="COTCOCLV1-ASDEFCON">
    <w:name w:val="COT/COC LV1 - ASDEFCON"/>
    <w:basedOn w:val="ASDEFCONNormal"/>
    <w:next w:val="COTCOCLV2-ASDEFCON"/>
    <w:rsid w:val="003869AE"/>
    <w:pPr>
      <w:keepNext/>
      <w:keepLines/>
      <w:numPr>
        <w:numId w:val="9"/>
      </w:numPr>
      <w:spacing w:before="240"/>
    </w:pPr>
    <w:rPr>
      <w:b/>
      <w:caps/>
    </w:rPr>
  </w:style>
  <w:style w:type="paragraph" w:customStyle="1" w:styleId="COTCOCLV4-ASDEFCON">
    <w:name w:val="COT/COC LV4 - ASDEFCON"/>
    <w:basedOn w:val="ASDEFCONNormal"/>
    <w:link w:val="COTCOCLV4-ASDEFCONChar"/>
    <w:rsid w:val="003869AE"/>
    <w:pPr>
      <w:numPr>
        <w:ilvl w:val="3"/>
        <w:numId w:val="9"/>
      </w:numPr>
    </w:pPr>
  </w:style>
  <w:style w:type="character" w:customStyle="1" w:styleId="COTCOCLV4-ASDEFCONChar">
    <w:name w:val="COT/COC LV4 - ASDEFCON Char"/>
    <w:basedOn w:val="ASDEFCONNormalChar"/>
    <w:link w:val="COTCOCLV4-ASDEFCON"/>
    <w:rsid w:val="003B35B8"/>
    <w:rPr>
      <w:rFonts w:ascii="Arial" w:hAnsi="Arial"/>
      <w:color w:val="000000"/>
      <w:szCs w:val="40"/>
    </w:rPr>
  </w:style>
  <w:style w:type="paragraph" w:customStyle="1" w:styleId="COTCOCLV5-ASDEFCON">
    <w:name w:val="COT/COC LV5 - ASDEFCON"/>
    <w:basedOn w:val="ASDEFCONNormal"/>
    <w:rsid w:val="003869AE"/>
    <w:pPr>
      <w:numPr>
        <w:ilvl w:val="4"/>
        <w:numId w:val="9"/>
      </w:numPr>
    </w:pPr>
  </w:style>
  <w:style w:type="paragraph" w:customStyle="1" w:styleId="COTCOCLV6-ASDEFCON">
    <w:name w:val="COT/COC LV6 - ASDEFCON"/>
    <w:basedOn w:val="ASDEFCONNormal"/>
    <w:rsid w:val="003869AE"/>
    <w:pPr>
      <w:keepLines/>
      <w:numPr>
        <w:ilvl w:val="5"/>
        <w:numId w:val="9"/>
      </w:numPr>
    </w:pPr>
  </w:style>
  <w:style w:type="paragraph" w:customStyle="1" w:styleId="ASDEFCONOption">
    <w:name w:val="ASDEFCON Option"/>
    <w:basedOn w:val="ASDEFCONNormal"/>
    <w:rsid w:val="003869AE"/>
    <w:pPr>
      <w:keepNext/>
      <w:spacing w:before="60"/>
    </w:pPr>
    <w:rPr>
      <w:b/>
      <w:i/>
      <w:szCs w:val="24"/>
    </w:rPr>
  </w:style>
  <w:style w:type="paragraph" w:customStyle="1" w:styleId="NoteToDrafters-ASDEFCON">
    <w:name w:val="Note To Drafters - ASDEFCON"/>
    <w:basedOn w:val="ASDEFCONNormal"/>
    <w:link w:val="NoteToDrafters-ASDEFCONChar"/>
    <w:rsid w:val="003869AE"/>
    <w:pPr>
      <w:keepNext/>
      <w:shd w:val="clear" w:color="auto" w:fill="000000"/>
    </w:pPr>
    <w:rPr>
      <w:b/>
      <w:i/>
      <w:color w:val="FFFFFF"/>
    </w:rPr>
  </w:style>
  <w:style w:type="paragraph" w:customStyle="1" w:styleId="NoteToTenderers-ASDEFCON">
    <w:name w:val="Note To Tenderers - ASDEFCON"/>
    <w:basedOn w:val="ASDEFCONNormal"/>
    <w:rsid w:val="003869AE"/>
    <w:pPr>
      <w:keepNext/>
      <w:shd w:val="pct15" w:color="auto" w:fill="auto"/>
    </w:pPr>
    <w:rPr>
      <w:b/>
      <w:i/>
    </w:rPr>
  </w:style>
  <w:style w:type="paragraph" w:customStyle="1" w:styleId="ASDEFCONTitle">
    <w:name w:val="ASDEFCON Title"/>
    <w:basedOn w:val="ASDEFCONNormal"/>
    <w:rsid w:val="003869AE"/>
    <w:pPr>
      <w:keepLines/>
      <w:spacing w:before="240"/>
      <w:jc w:val="center"/>
    </w:pPr>
    <w:rPr>
      <w:b/>
      <w:caps/>
    </w:rPr>
  </w:style>
  <w:style w:type="paragraph" w:customStyle="1" w:styleId="ATTANNLV1-ASDEFCON">
    <w:name w:val="ATT/ANN LV1 - ASDEFCON"/>
    <w:basedOn w:val="ASDEFCONNormal"/>
    <w:next w:val="ATTANNLV2-ASDEFCON"/>
    <w:rsid w:val="003869AE"/>
    <w:pPr>
      <w:keepNext/>
      <w:keepLines/>
      <w:numPr>
        <w:numId w:val="3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869AE"/>
    <w:pPr>
      <w:numPr>
        <w:ilvl w:val="1"/>
        <w:numId w:val="33"/>
      </w:numPr>
    </w:pPr>
    <w:rPr>
      <w:szCs w:val="24"/>
    </w:rPr>
  </w:style>
  <w:style w:type="character" w:customStyle="1" w:styleId="ATTANNLV2-ASDEFCONChar">
    <w:name w:val="ATT/ANN LV2 - ASDEFCON Char"/>
    <w:link w:val="ATTANNLV2-ASDEFCON"/>
    <w:rsid w:val="003869AE"/>
    <w:rPr>
      <w:rFonts w:ascii="Arial" w:hAnsi="Arial"/>
      <w:color w:val="000000"/>
      <w:szCs w:val="24"/>
    </w:rPr>
  </w:style>
  <w:style w:type="paragraph" w:customStyle="1" w:styleId="ATTANNLV3-ASDEFCON">
    <w:name w:val="ATT/ANN LV3 - ASDEFCON"/>
    <w:basedOn w:val="ASDEFCONNormal"/>
    <w:rsid w:val="003869AE"/>
    <w:pPr>
      <w:numPr>
        <w:ilvl w:val="2"/>
        <w:numId w:val="33"/>
      </w:numPr>
    </w:pPr>
    <w:rPr>
      <w:szCs w:val="24"/>
    </w:rPr>
  </w:style>
  <w:style w:type="paragraph" w:customStyle="1" w:styleId="ATTANNLV4-ASDEFCON">
    <w:name w:val="ATT/ANN LV4 - ASDEFCON"/>
    <w:basedOn w:val="ASDEFCONNormal"/>
    <w:rsid w:val="003869AE"/>
    <w:pPr>
      <w:numPr>
        <w:ilvl w:val="3"/>
        <w:numId w:val="33"/>
      </w:numPr>
    </w:pPr>
    <w:rPr>
      <w:szCs w:val="24"/>
    </w:rPr>
  </w:style>
  <w:style w:type="paragraph" w:customStyle="1" w:styleId="ASDEFCONCoverTitle">
    <w:name w:val="ASDEFCON Cover Title"/>
    <w:rsid w:val="003869AE"/>
    <w:pPr>
      <w:jc w:val="center"/>
    </w:pPr>
    <w:rPr>
      <w:rFonts w:ascii="Georgia" w:hAnsi="Georgia"/>
      <w:b/>
      <w:color w:val="000000"/>
      <w:sz w:val="100"/>
      <w:szCs w:val="24"/>
    </w:rPr>
  </w:style>
  <w:style w:type="paragraph" w:customStyle="1" w:styleId="ASDEFCONHeaderFooterLeft">
    <w:name w:val="ASDEFCON Header/Footer Left"/>
    <w:basedOn w:val="ASDEFCONNormal"/>
    <w:rsid w:val="003869AE"/>
    <w:pPr>
      <w:spacing w:after="0"/>
      <w:jc w:val="left"/>
    </w:pPr>
    <w:rPr>
      <w:sz w:val="16"/>
      <w:szCs w:val="24"/>
    </w:rPr>
  </w:style>
  <w:style w:type="paragraph" w:customStyle="1" w:styleId="ASDEFCONCoverPageIncorp">
    <w:name w:val="ASDEFCON Cover Page Incorp"/>
    <w:rsid w:val="003869A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869AE"/>
    <w:rPr>
      <w:b/>
      <w:i/>
    </w:rPr>
  </w:style>
  <w:style w:type="paragraph" w:customStyle="1" w:styleId="COTCOCLV2NONUM-ASDEFCON">
    <w:name w:val="COT/COC LV2 NONUM - ASDEFCON"/>
    <w:basedOn w:val="COTCOCLV2-ASDEFCON"/>
    <w:next w:val="COTCOCLV3-ASDEFCON"/>
    <w:rsid w:val="003869A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869AE"/>
    <w:pPr>
      <w:keepNext w:val="0"/>
      <w:numPr>
        <w:numId w:val="0"/>
      </w:numPr>
      <w:ind w:left="851"/>
    </w:pPr>
    <w:rPr>
      <w:bCs/>
      <w:szCs w:val="20"/>
    </w:rPr>
  </w:style>
  <w:style w:type="paragraph" w:customStyle="1" w:styleId="COTCOCLV3NONUM-ASDEFCON">
    <w:name w:val="COT/COC LV3 NONUM - ASDEFCON"/>
    <w:basedOn w:val="COTCOCLV3-ASDEFCON"/>
    <w:next w:val="COTCOCLV3-ASDEFCON"/>
    <w:rsid w:val="003869AE"/>
    <w:pPr>
      <w:numPr>
        <w:ilvl w:val="0"/>
        <w:numId w:val="0"/>
      </w:numPr>
      <w:ind w:left="851"/>
    </w:pPr>
    <w:rPr>
      <w:szCs w:val="20"/>
    </w:rPr>
  </w:style>
  <w:style w:type="paragraph" w:customStyle="1" w:styleId="COTCOCLV4NONUM-ASDEFCON">
    <w:name w:val="COT/COC LV4 NONUM - ASDEFCON"/>
    <w:basedOn w:val="COTCOCLV4-ASDEFCON"/>
    <w:next w:val="COTCOCLV4-ASDEFCON"/>
    <w:rsid w:val="003869AE"/>
    <w:pPr>
      <w:numPr>
        <w:ilvl w:val="0"/>
        <w:numId w:val="0"/>
      </w:numPr>
      <w:ind w:left="1418"/>
    </w:pPr>
    <w:rPr>
      <w:szCs w:val="20"/>
    </w:rPr>
  </w:style>
  <w:style w:type="paragraph" w:customStyle="1" w:styleId="COTCOCLV5NONUM-ASDEFCON">
    <w:name w:val="COT/COC LV5 NONUM - ASDEFCON"/>
    <w:basedOn w:val="COTCOCLV5-ASDEFCON"/>
    <w:next w:val="COTCOCLV5-ASDEFCON"/>
    <w:rsid w:val="003869AE"/>
    <w:pPr>
      <w:numPr>
        <w:ilvl w:val="0"/>
        <w:numId w:val="0"/>
      </w:numPr>
      <w:ind w:left="1985"/>
    </w:pPr>
    <w:rPr>
      <w:szCs w:val="20"/>
    </w:rPr>
  </w:style>
  <w:style w:type="paragraph" w:customStyle="1" w:styleId="COTCOCLV6NONUM-ASDEFCON">
    <w:name w:val="COT/COC LV6 NONUM - ASDEFCON"/>
    <w:basedOn w:val="COTCOCLV6-ASDEFCON"/>
    <w:next w:val="COTCOCLV6-ASDEFCON"/>
    <w:rsid w:val="003869AE"/>
    <w:pPr>
      <w:numPr>
        <w:ilvl w:val="0"/>
        <w:numId w:val="0"/>
      </w:numPr>
      <w:ind w:left="2552"/>
    </w:pPr>
    <w:rPr>
      <w:szCs w:val="20"/>
    </w:rPr>
  </w:style>
  <w:style w:type="paragraph" w:customStyle="1" w:styleId="ATTANNLV1NONUM-ASDEFCON">
    <w:name w:val="ATT/ANN LV1 NONUM - ASDEFCON"/>
    <w:basedOn w:val="ATTANNLV1-ASDEFCON"/>
    <w:next w:val="ATTANNLV2-ASDEFCON"/>
    <w:rsid w:val="003869AE"/>
    <w:pPr>
      <w:numPr>
        <w:numId w:val="0"/>
      </w:numPr>
      <w:ind w:left="851"/>
    </w:pPr>
    <w:rPr>
      <w:bCs/>
      <w:szCs w:val="20"/>
    </w:rPr>
  </w:style>
  <w:style w:type="paragraph" w:customStyle="1" w:styleId="ATTANNLV2NONUM-ASDEFCON">
    <w:name w:val="ATT/ANN LV2 NONUM - ASDEFCON"/>
    <w:basedOn w:val="ATTANNLV2-ASDEFCON"/>
    <w:next w:val="ATTANNLV2-ASDEFCON"/>
    <w:rsid w:val="003869AE"/>
    <w:pPr>
      <w:numPr>
        <w:ilvl w:val="0"/>
        <w:numId w:val="0"/>
      </w:numPr>
      <w:ind w:left="851"/>
    </w:pPr>
    <w:rPr>
      <w:szCs w:val="20"/>
    </w:rPr>
  </w:style>
  <w:style w:type="paragraph" w:customStyle="1" w:styleId="ATTANNLV3NONUM-ASDEFCON">
    <w:name w:val="ATT/ANN LV3 NONUM - ASDEFCON"/>
    <w:basedOn w:val="ATTANNLV3-ASDEFCON"/>
    <w:next w:val="ATTANNLV3-ASDEFCON"/>
    <w:rsid w:val="003869AE"/>
    <w:pPr>
      <w:numPr>
        <w:ilvl w:val="0"/>
        <w:numId w:val="0"/>
      </w:numPr>
      <w:ind w:left="1418"/>
    </w:pPr>
    <w:rPr>
      <w:szCs w:val="20"/>
    </w:rPr>
  </w:style>
  <w:style w:type="paragraph" w:customStyle="1" w:styleId="ATTANNLV4NONUM-ASDEFCON">
    <w:name w:val="ATT/ANN LV4 NONUM - ASDEFCON"/>
    <w:basedOn w:val="ATTANNLV4-ASDEFCON"/>
    <w:next w:val="ATTANNLV4-ASDEFCON"/>
    <w:rsid w:val="003869AE"/>
    <w:pPr>
      <w:numPr>
        <w:ilvl w:val="0"/>
        <w:numId w:val="0"/>
      </w:numPr>
      <w:ind w:left="1985"/>
    </w:pPr>
    <w:rPr>
      <w:szCs w:val="20"/>
    </w:rPr>
  </w:style>
  <w:style w:type="paragraph" w:customStyle="1" w:styleId="NoteToDraftersBullets-ASDEFCON">
    <w:name w:val="Note To Drafters Bullets - ASDEFCON"/>
    <w:basedOn w:val="NoteToDrafters-ASDEFCON"/>
    <w:rsid w:val="003869AE"/>
    <w:pPr>
      <w:numPr>
        <w:numId w:val="10"/>
      </w:numPr>
    </w:pPr>
    <w:rPr>
      <w:bCs/>
      <w:iCs/>
      <w:szCs w:val="20"/>
    </w:rPr>
  </w:style>
  <w:style w:type="paragraph" w:customStyle="1" w:styleId="NoteToDraftersList-ASDEFCON">
    <w:name w:val="Note To Drafters List - ASDEFCON"/>
    <w:basedOn w:val="NoteToDrafters-ASDEFCON"/>
    <w:rsid w:val="003869AE"/>
    <w:pPr>
      <w:numPr>
        <w:numId w:val="11"/>
      </w:numPr>
    </w:pPr>
    <w:rPr>
      <w:bCs/>
      <w:iCs/>
      <w:szCs w:val="20"/>
    </w:rPr>
  </w:style>
  <w:style w:type="paragraph" w:customStyle="1" w:styleId="NoteToTenderersBullets-ASDEFCON">
    <w:name w:val="Note To Tenderers Bullets - ASDEFCON"/>
    <w:basedOn w:val="NoteToTenderers-ASDEFCON"/>
    <w:rsid w:val="003869AE"/>
    <w:pPr>
      <w:numPr>
        <w:numId w:val="12"/>
      </w:numPr>
    </w:pPr>
    <w:rPr>
      <w:bCs/>
      <w:iCs/>
      <w:szCs w:val="20"/>
    </w:rPr>
  </w:style>
  <w:style w:type="paragraph" w:customStyle="1" w:styleId="NoteToTenderersList-ASDEFCON">
    <w:name w:val="Note To Tenderers List - ASDEFCON"/>
    <w:basedOn w:val="NoteToTenderers-ASDEFCON"/>
    <w:rsid w:val="003869AE"/>
    <w:pPr>
      <w:numPr>
        <w:numId w:val="13"/>
      </w:numPr>
    </w:pPr>
    <w:rPr>
      <w:bCs/>
      <w:iCs/>
      <w:szCs w:val="20"/>
    </w:rPr>
  </w:style>
  <w:style w:type="paragraph" w:customStyle="1" w:styleId="SOWHL1-ASDEFCON">
    <w:name w:val="SOW HL1 - ASDEFCON"/>
    <w:basedOn w:val="ASDEFCONNormal"/>
    <w:next w:val="SOWHL2-ASDEFCON"/>
    <w:qFormat/>
    <w:rsid w:val="003869AE"/>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869AE"/>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869AE"/>
    <w:pPr>
      <w:keepNext/>
      <w:numPr>
        <w:ilvl w:val="2"/>
        <w:numId w:val="6"/>
      </w:numPr>
    </w:pPr>
    <w:rPr>
      <w:rFonts w:eastAsia="Calibri"/>
      <w:b/>
      <w:szCs w:val="22"/>
      <w:lang w:eastAsia="en-US"/>
    </w:rPr>
  </w:style>
  <w:style w:type="paragraph" w:customStyle="1" w:styleId="SOWHL4-ASDEFCON">
    <w:name w:val="SOW HL4 - ASDEFCON"/>
    <w:basedOn w:val="ASDEFCONNormal"/>
    <w:qFormat/>
    <w:rsid w:val="003869AE"/>
    <w:pPr>
      <w:keepNext/>
      <w:numPr>
        <w:ilvl w:val="3"/>
        <w:numId w:val="6"/>
      </w:numPr>
    </w:pPr>
    <w:rPr>
      <w:rFonts w:eastAsia="Calibri"/>
      <w:b/>
      <w:szCs w:val="22"/>
      <w:lang w:eastAsia="en-US"/>
    </w:rPr>
  </w:style>
  <w:style w:type="paragraph" w:customStyle="1" w:styleId="SOWHL5-ASDEFCON">
    <w:name w:val="SOW HL5 - ASDEFCON"/>
    <w:basedOn w:val="ASDEFCONNormal"/>
    <w:qFormat/>
    <w:rsid w:val="003869AE"/>
    <w:pPr>
      <w:keepNext/>
      <w:numPr>
        <w:ilvl w:val="4"/>
        <w:numId w:val="6"/>
      </w:numPr>
    </w:pPr>
    <w:rPr>
      <w:rFonts w:eastAsia="Calibri"/>
      <w:b/>
      <w:szCs w:val="22"/>
      <w:lang w:eastAsia="en-US"/>
    </w:rPr>
  </w:style>
  <w:style w:type="paragraph" w:customStyle="1" w:styleId="SOWSubL1-ASDEFCON">
    <w:name w:val="SOW SubL1 - ASDEFCON"/>
    <w:basedOn w:val="ASDEFCONNormal"/>
    <w:qFormat/>
    <w:rsid w:val="003869AE"/>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3869A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869AE"/>
    <w:pPr>
      <w:numPr>
        <w:ilvl w:val="0"/>
        <w:numId w:val="0"/>
      </w:numPr>
      <w:ind w:left="1134"/>
    </w:pPr>
    <w:rPr>
      <w:rFonts w:eastAsia="Times New Roman"/>
      <w:bCs/>
      <w:szCs w:val="20"/>
    </w:rPr>
  </w:style>
  <w:style w:type="paragraph" w:customStyle="1" w:styleId="SOWTL2-ASDEFCON">
    <w:name w:val="SOW TL2 - ASDEFCON"/>
    <w:basedOn w:val="SOWHL2-ASDEFCON"/>
    <w:rsid w:val="003869AE"/>
    <w:pPr>
      <w:keepNext w:val="0"/>
      <w:pBdr>
        <w:bottom w:val="none" w:sz="0" w:space="0" w:color="auto"/>
      </w:pBdr>
    </w:pPr>
    <w:rPr>
      <w:b w:val="0"/>
    </w:rPr>
  </w:style>
  <w:style w:type="paragraph" w:customStyle="1" w:styleId="SOWTL3NONUM-ASDEFCON">
    <w:name w:val="SOW TL3 NONUM - ASDEFCON"/>
    <w:basedOn w:val="SOWTL3-ASDEFCON"/>
    <w:next w:val="SOWTL3-ASDEFCON"/>
    <w:rsid w:val="003869AE"/>
    <w:pPr>
      <w:numPr>
        <w:ilvl w:val="0"/>
        <w:numId w:val="0"/>
      </w:numPr>
      <w:ind w:left="1134"/>
    </w:pPr>
    <w:rPr>
      <w:rFonts w:eastAsia="Times New Roman"/>
      <w:bCs/>
      <w:szCs w:val="20"/>
    </w:rPr>
  </w:style>
  <w:style w:type="paragraph" w:customStyle="1" w:styleId="SOWTL3-ASDEFCON">
    <w:name w:val="SOW TL3 - ASDEFCON"/>
    <w:basedOn w:val="SOWHL3-ASDEFCON"/>
    <w:rsid w:val="003869AE"/>
    <w:pPr>
      <w:keepNext w:val="0"/>
    </w:pPr>
    <w:rPr>
      <w:b w:val="0"/>
    </w:rPr>
  </w:style>
  <w:style w:type="paragraph" w:customStyle="1" w:styleId="SOWTL4NONUM-ASDEFCON">
    <w:name w:val="SOW TL4 NONUM - ASDEFCON"/>
    <w:basedOn w:val="SOWTL4-ASDEFCON"/>
    <w:next w:val="SOWTL4-ASDEFCON"/>
    <w:rsid w:val="003869AE"/>
    <w:pPr>
      <w:numPr>
        <w:ilvl w:val="0"/>
        <w:numId w:val="0"/>
      </w:numPr>
      <w:ind w:left="1134"/>
    </w:pPr>
    <w:rPr>
      <w:rFonts w:eastAsia="Times New Roman"/>
      <w:bCs/>
      <w:szCs w:val="20"/>
    </w:rPr>
  </w:style>
  <w:style w:type="paragraph" w:customStyle="1" w:styleId="SOWTL4-ASDEFCON">
    <w:name w:val="SOW TL4 - ASDEFCON"/>
    <w:basedOn w:val="SOWHL4-ASDEFCON"/>
    <w:rsid w:val="003869AE"/>
    <w:pPr>
      <w:keepNext w:val="0"/>
    </w:pPr>
    <w:rPr>
      <w:b w:val="0"/>
    </w:rPr>
  </w:style>
  <w:style w:type="paragraph" w:customStyle="1" w:styleId="SOWTL5NONUM-ASDEFCON">
    <w:name w:val="SOW TL5 NONUM - ASDEFCON"/>
    <w:basedOn w:val="SOWHL5-ASDEFCON"/>
    <w:next w:val="SOWTL5-ASDEFCON"/>
    <w:rsid w:val="003869AE"/>
    <w:pPr>
      <w:keepNext w:val="0"/>
      <w:numPr>
        <w:ilvl w:val="0"/>
        <w:numId w:val="0"/>
      </w:numPr>
      <w:ind w:left="1134"/>
    </w:pPr>
    <w:rPr>
      <w:b w:val="0"/>
    </w:rPr>
  </w:style>
  <w:style w:type="paragraph" w:customStyle="1" w:styleId="SOWTL5-ASDEFCON">
    <w:name w:val="SOW TL5 - ASDEFCON"/>
    <w:basedOn w:val="SOWHL5-ASDEFCON"/>
    <w:rsid w:val="003869AE"/>
    <w:pPr>
      <w:keepNext w:val="0"/>
    </w:pPr>
    <w:rPr>
      <w:b w:val="0"/>
    </w:rPr>
  </w:style>
  <w:style w:type="paragraph" w:customStyle="1" w:styleId="SOWSubL2-ASDEFCON">
    <w:name w:val="SOW SubL2 - ASDEFCON"/>
    <w:basedOn w:val="ASDEFCONNormal"/>
    <w:qFormat/>
    <w:rsid w:val="003869AE"/>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3869AE"/>
    <w:pPr>
      <w:numPr>
        <w:numId w:val="0"/>
      </w:numPr>
      <w:ind w:left="1701"/>
    </w:pPr>
  </w:style>
  <w:style w:type="paragraph" w:customStyle="1" w:styleId="SOWSubL2NONUM-ASDEFCON">
    <w:name w:val="SOW SubL2 NONUM - ASDEFCON"/>
    <w:basedOn w:val="SOWSubL2-ASDEFCON"/>
    <w:next w:val="SOWSubL2-ASDEFCON"/>
    <w:qFormat/>
    <w:rsid w:val="003869AE"/>
    <w:pPr>
      <w:numPr>
        <w:ilvl w:val="0"/>
        <w:numId w:val="0"/>
      </w:numPr>
      <w:ind w:left="2268"/>
    </w:pPr>
  </w:style>
  <w:style w:type="paragraph" w:customStyle="1" w:styleId="ASDEFCONTextBlock">
    <w:name w:val="ASDEFCON TextBlock"/>
    <w:basedOn w:val="ASDEFCONNormal"/>
    <w:qFormat/>
    <w:rsid w:val="003869A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869AE"/>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869AE"/>
    <w:pPr>
      <w:keepNext/>
      <w:spacing w:before="240"/>
    </w:pPr>
    <w:rPr>
      <w:rFonts w:ascii="Arial Bold" w:hAnsi="Arial Bold"/>
      <w:b/>
      <w:bCs/>
      <w:caps/>
      <w:szCs w:val="20"/>
    </w:rPr>
  </w:style>
  <w:style w:type="paragraph" w:customStyle="1" w:styleId="Table8ptHeading-ASDEFCON">
    <w:name w:val="Table 8pt Heading - ASDEFCON"/>
    <w:basedOn w:val="ASDEFCONNormal"/>
    <w:rsid w:val="003869A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869AE"/>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869AE"/>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869AE"/>
    <w:rPr>
      <w:rFonts w:ascii="Arial" w:eastAsia="Calibri" w:hAnsi="Arial"/>
      <w:color w:val="000000"/>
      <w:szCs w:val="22"/>
      <w:lang w:eastAsia="en-US"/>
    </w:rPr>
  </w:style>
  <w:style w:type="paragraph" w:customStyle="1" w:styleId="Table8ptSub1-ASDEFCON">
    <w:name w:val="Table 8pt Sub1 - ASDEFCON"/>
    <w:basedOn w:val="Table8ptText-ASDEFCON"/>
    <w:rsid w:val="003869AE"/>
    <w:pPr>
      <w:numPr>
        <w:ilvl w:val="1"/>
      </w:numPr>
    </w:pPr>
  </w:style>
  <w:style w:type="paragraph" w:customStyle="1" w:styleId="Table8ptSub2-ASDEFCON">
    <w:name w:val="Table 8pt Sub2 - ASDEFCON"/>
    <w:basedOn w:val="Table8ptText-ASDEFCON"/>
    <w:rsid w:val="003869AE"/>
    <w:pPr>
      <w:numPr>
        <w:ilvl w:val="2"/>
      </w:numPr>
    </w:pPr>
  </w:style>
  <w:style w:type="paragraph" w:customStyle="1" w:styleId="Table10ptHeading-ASDEFCON">
    <w:name w:val="Table 10pt Heading - ASDEFCON"/>
    <w:basedOn w:val="ASDEFCONNormal"/>
    <w:link w:val="Table10ptHeading-ASDEFCONChar"/>
    <w:rsid w:val="003869AE"/>
    <w:pPr>
      <w:keepNext/>
      <w:spacing w:before="60" w:after="60"/>
      <w:jc w:val="center"/>
    </w:pPr>
    <w:rPr>
      <w:b/>
    </w:rPr>
  </w:style>
  <w:style w:type="paragraph" w:customStyle="1" w:styleId="Table8ptBP1-ASDEFCON">
    <w:name w:val="Table 8pt BP1 - ASDEFCON"/>
    <w:basedOn w:val="Table8ptText-ASDEFCON"/>
    <w:rsid w:val="003869AE"/>
    <w:pPr>
      <w:numPr>
        <w:numId w:val="15"/>
      </w:numPr>
    </w:pPr>
  </w:style>
  <w:style w:type="paragraph" w:customStyle="1" w:styleId="Table8ptBP2-ASDEFCON">
    <w:name w:val="Table 8pt BP2 - ASDEFCON"/>
    <w:basedOn w:val="Table8ptText-ASDEFCON"/>
    <w:rsid w:val="003869AE"/>
    <w:pPr>
      <w:numPr>
        <w:ilvl w:val="1"/>
        <w:numId w:val="15"/>
      </w:numPr>
      <w:tabs>
        <w:tab w:val="clear" w:pos="284"/>
      </w:tabs>
    </w:pPr>
    <w:rPr>
      <w:iCs/>
    </w:rPr>
  </w:style>
  <w:style w:type="paragraph" w:customStyle="1" w:styleId="ASDEFCONBulletsLV1">
    <w:name w:val="ASDEFCON Bullets LV1"/>
    <w:basedOn w:val="ASDEFCONNormal"/>
    <w:rsid w:val="003869AE"/>
    <w:pPr>
      <w:numPr>
        <w:numId w:val="17"/>
      </w:numPr>
    </w:pPr>
    <w:rPr>
      <w:rFonts w:eastAsia="Calibri"/>
      <w:szCs w:val="22"/>
      <w:lang w:eastAsia="en-US"/>
    </w:rPr>
  </w:style>
  <w:style w:type="paragraph" w:customStyle="1" w:styleId="Table10ptSub1-ASDEFCON">
    <w:name w:val="Table 10pt Sub1 - ASDEFCON"/>
    <w:basedOn w:val="Table10ptText-ASDEFCON"/>
    <w:rsid w:val="003869AE"/>
    <w:pPr>
      <w:numPr>
        <w:ilvl w:val="1"/>
      </w:numPr>
      <w:jc w:val="both"/>
    </w:pPr>
  </w:style>
  <w:style w:type="paragraph" w:customStyle="1" w:styleId="Table10ptSub2-ASDEFCON">
    <w:name w:val="Table 10pt Sub2 - ASDEFCON"/>
    <w:basedOn w:val="Table10ptText-ASDEFCON"/>
    <w:rsid w:val="003869AE"/>
    <w:pPr>
      <w:numPr>
        <w:ilvl w:val="2"/>
      </w:numPr>
      <w:jc w:val="both"/>
    </w:pPr>
  </w:style>
  <w:style w:type="paragraph" w:customStyle="1" w:styleId="ASDEFCONBulletsLV2">
    <w:name w:val="ASDEFCON Bullets LV2"/>
    <w:basedOn w:val="ASDEFCONNormal"/>
    <w:rsid w:val="003869AE"/>
    <w:pPr>
      <w:numPr>
        <w:numId w:val="5"/>
      </w:numPr>
    </w:pPr>
  </w:style>
  <w:style w:type="paragraph" w:customStyle="1" w:styleId="Table10ptBP1-ASDEFCON">
    <w:name w:val="Table 10pt BP1 - ASDEFCON"/>
    <w:basedOn w:val="ASDEFCONNormal"/>
    <w:rsid w:val="003869AE"/>
    <w:pPr>
      <w:numPr>
        <w:numId w:val="21"/>
      </w:numPr>
      <w:spacing w:before="60" w:after="60"/>
    </w:pPr>
  </w:style>
  <w:style w:type="paragraph" w:customStyle="1" w:styleId="Table10ptBP2-ASDEFCON">
    <w:name w:val="Table 10pt BP2 - ASDEFCON"/>
    <w:basedOn w:val="ASDEFCONNormal"/>
    <w:link w:val="Table10ptBP2-ASDEFCONCharChar"/>
    <w:rsid w:val="003869AE"/>
    <w:pPr>
      <w:numPr>
        <w:ilvl w:val="1"/>
        <w:numId w:val="21"/>
      </w:numPr>
      <w:spacing w:before="60" w:after="60"/>
    </w:pPr>
  </w:style>
  <w:style w:type="character" w:customStyle="1" w:styleId="Table10ptBP2-ASDEFCONCharChar">
    <w:name w:val="Table 10pt BP2 - ASDEFCON Char Char"/>
    <w:link w:val="Table10ptBP2-ASDEFCON"/>
    <w:rsid w:val="003869AE"/>
    <w:rPr>
      <w:rFonts w:ascii="Arial" w:hAnsi="Arial"/>
      <w:color w:val="000000"/>
      <w:szCs w:val="40"/>
    </w:rPr>
  </w:style>
  <w:style w:type="paragraph" w:customStyle="1" w:styleId="GuideMarginHead-ASDEFCON">
    <w:name w:val="Guide Margin Head - ASDEFCON"/>
    <w:basedOn w:val="ASDEFCONNormal"/>
    <w:rsid w:val="003869A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869AE"/>
    <w:pPr>
      <w:ind w:left="1680"/>
    </w:pPr>
    <w:rPr>
      <w:lang w:eastAsia="en-US"/>
    </w:rPr>
  </w:style>
  <w:style w:type="paragraph" w:customStyle="1" w:styleId="GuideSublistLv1-ASDEFCON">
    <w:name w:val="Guide Sublist Lv1 - ASDEFCON"/>
    <w:basedOn w:val="ASDEFCONNormal"/>
    <w:qFormat/>
    <w:rsid w:val="003869AE"/>
    <w:pPr>
      <w:numPr>
        <w:numId w:val="25"/>
      </w:numPr>
    </w:pPr>
    <w:rPr>
      <w:rFonts w:eastAsia="Calibri"/>
      <w:szCs w:val="22"/>
      <w:lang w:eastAsia="en-US"/>
    </w:rPr>
  </w:style>
  <w:style w:type="paragraph" w:customStyle="1" w:styleId="GuideBullets-ASDEFCON">
    <w:name w:val="Guide Bullets - ASDEFCON"/>
    <w:basedOn w:val="ASDEFCONNormal"/>
    <w:rsid w:val="003869AE"/>
    <w:pPr>
      <w:numPr>
        <w:ilvl w:val="6"/>
        <w:numId w:val="16"/>
      </w:numPr>
    </w:pPr>
    <w:rPr>
      <w:rFonts w:eastAsia="Calibri"/>
      <w:szCs w:val="22"/>
      <w:lang w:eastAsia="en-US"/>
    </w:rPr>
  </w:style>
  <w:style w:type="paragraph" w:customStyle="1" w:styleId="GuideLV2Head-ASDEFCON">
    <w:name w:val="Guide LV2 Head - ASDEFCON"/>
    <w:basedOn w:val="ASDEFCONNormal"/>
    <w:next w:val="GuideText-ASDEFCON"/>
    <w:rsid w:val="003869A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869AE"/>
    <w:pPr>
      <w:keepNext/>
      <w:spacing w:before="240"/>
    </w:pPr>
    <w:rPr>
      <w:rFonts w:eastAsia="Calibri"/>
      <w:b/>
      <w:caps/>
      <w:szCs w:val="20"/>
      <w:lang w:eastAsia="en-US"/>
    </w:rPr>
  </w:style>
  <w:style w:type="paragraph" w:customStyle="1" w:styleId="ASDEFCONSublist">
    <w:name w:val="ASDEFCON Sublist"/>
    <w:basedOn w:val="ASDEFCONNormal"/>
    <w:rsid w:val="003869AE"/>
    <w:pPr>
      <w:numPr>
        <w:numId w:val="26"/>
      </w:numPr>
    </w:pPr>
    <w:rPr>
      <w:iCs/>
    </w:rPr>
  </w:style>
  <w:style w:type="paragraph" w:customStyle="1" w:styleId="ASDEFCONRecitals">
    <w:name w:val="ASDEFCON Recitals"/>
    <w:basedOn w:val="ASDEFCONNormal"/>
    <w:link w:val="ASDEFCONRecitalsCharChar"/>
    <w:rsid w:val="003869AE"/>
    <w:pPr>
      <w:numPr>
        <w:numId w:val="18"/>
      </w:numPr>
    </w:pPr>
  </w:style>
  <w:style w:type="character" w:customStyle="1" w:styleId="ASDEFCONRecitalsCharChar">
    <w:name w:val="ASDEFCON Recitals Char Char"/>
    <w:link w:val="ASDEFCONRecitals"/>
    <w:rsid w:val="003869AE"/>
    <w:rPr>
      <w:rFonts w:ascii="Arial" w:hAnsi="Arial"/>
      <w:color w:val="000000"/>
      <w:szCs w:val="40"/>
    </w:rPr>
  </w:style>
  <w:style w:type="paragraph" w:customStyle="1" w:styleId="NoteList-ASDEFCON">
    <w:name w:val="Note List - ASDEFCON"/>
    <w:basedOn w:val="ASDEFCONNormal"/>
    <w:rsid w:val="003869AE"/>
    <w:pPr>
      <w:numPr>
        <w:numId w:val="19"/>
      </w:numPr>
    </w:pPr>
    <w:rPr>
      <w:b/>
      <w:bCs/>
      <w:i/>
    </w:rPr>
  </w:style>
  <w:style w:type="paragraph" w:customStyle="1" w:styleId="NoteBullets-ASDEFCON">
    <w:name w:val="Note Bullets - ASDEFCON"/>
    <w:basedOn w:val="ASDEFCONNormal"/>
    <w:rsid w:val="003869AE"/>
    <w:pPr>
      <w:numPr>
        <w:numId w:val="20"/>
      </w:numPr>
    </w:pPr>
    <w:rPr>
      <w:b/>
      <w:i/>
    </w:rPr>
  </w:style>
  <w:style w:type="paragraph" w:customStyle="1" w:styleId="ASDEFCONOperativePartListLV1">
    <w:name w:val="ASDEFCON Operative Part List LV1"/>
    <w:basedOn w:val="ASDEFCONNormal"/>
    <w:rsid w:val="003869AE"/>
    <w:pPr>
      <w:numPr>
        <w:numId w:val="22"/>
      </w:numPr>
    </w:pPr>
    <w:rPr>
      <w:iCs/>
    </w:rPr>
  </w:style>
  <w:style w:type="paragraph" w:customStyle="1" w:styleId="ASDEFCONOperativePartListLV2">
    <w:name w:val="ASDEFCON Operative Part List LV2"/>
    <w:basedOn w:val="ASDEFCONOperativePartListLV1"/>
    <w:rsid w:val="003869AE"/>
    <w:pPr>
      <w:numPr>
        <w:ilvl w:val="1"/>
      </w:numPr>
    </w:pPr>
  </w:style>
  <w:style w:type="paragraph" w:customStyle="1" w:styleId="ASDEFCONOptionSpace">
    <w:name w:val="ASDEFCON Option Space"/>
    <w:basedOn w:val="ASDEFCONNormal"/>
    <w:rsid w:val="003869AE"/>
    <w:pPr>
      <w:spacing w:after="0"/>
    </w:pPr>
    <w:rPr>
      <w:bCs/>
      <w:color w:val="FFFFFF"/>
      <w:sz w:val="8"/>
    </w:rPr>
  </w:style>
  <w:style w:type="paragraph" w:customStyle="1" w:styleId="ATTANNReferencetoCOC">
    <w:name w:val="ATT/ANN Reference to COC"/>
    <w:basedOn w:val="ASDEFCONNormal"/>
    <w:rsid w:val="003869AE"/>
    <w:pPr>
      <w:keepNext/>
      <w:jc w:val="right"/>
    </w:pPr>
    <w:rPr>
      <w:i/>
      <w:iCs/>
      <w:szCs w:val="20"/>
    </w:rPr>
  </w:style>
  <w:style w:type="paragraph" w:customStyle="1" w:styleId="ASDEFCONHeaderFooterCenter">
    <w:name w:val="ASDEFCON Header/Footer Center"/>
    <w:basedOn w:val="ASDEFCONHeaderFooterLeft"/>
    <w:rsid w:val="003869AE"/>
    <w:pPr>
      <w:jc w:val="center"/>
    </w:pPr>
    <w:rPr>
      <w:szCs w:val="20"/>
    </w:rPr>
  </w:style>
  <w:style w:type="paragraph" w:customStyle="1" w:styleId="ASDEFCONHeaderFooterRight">
    <w:name w:val="ASDEFCON Header/Footer Right"/>
    <w:basedOn w:val="ASDEFCONHeaderFooterLeft"/>
    <w:rsid w:val="003869AE"/>
    <w:pPr>
      <w:jc w:val="right"/>
    </w:pPr>
    <w:rPr>
      <w:szCs w:val="20"/>
    </w:rPr>
  </w:style>
  <w:style w:type="paragraph" w:customStyle="1" w:styleId="ASDEFCONHeaderFooterClassification">
    <w:name w:val="ASDEFCON Header/Footer Classification"/>
    <w:basedOn w:val="ASDEFCONHeaderFooterLeft"/>
    <w:rsid w:val="003869AE"/>
    <w:pPr>
      <w:jc w:val="center"/>
    </w:pPr>
    <w:rPr>
      <w:rFonts w:ascii="Arial Bold" w:hAnsi="Arial Bold"/>
      <w:b/>
      <w:bCs/>
      <w:caps/>
      <w:sz w:val="20"/>
    </w:rPr>
  </w:style>
  <w:style w:type="paragraph" w:customStyle="1" w:styleId="GuideLV3Head-ASDEFCON">
    <w:name w:val="Guide LV3 Head - ASDEFCON"/>
    <w:basedOn w:val="ASDEFCONNormal"/>
    <w:rsid w:val="003869AE"/>
    <w:pPr>
      <w:keepNext/>
    </w:pPr>
    <w:rPr>
      <w:rFonts w:eastAsia="Calibri"/>
      <w:b/>
      <w:szCs w:val="22"/>
      <w:lang w:eastAsia="en-US"/>
    </w:rPr>
  </w:style>
  <w:style w:type="paragraph" w:customStyle="1" w:styleId="GuideSublistLv2-ASDEFCON">
    <w:name w:val="Guide Sublist Lv2 - ASDEFCON"/>
    <w:basedOn w:val="ASDEFCONNormal"/>
    <w:rsid w:val="003869AE"/>
    <w:pPr>
      <w:numPr>
        <w:ilvl w:val="1"/>
        <w:numId w:val="25"/>
      </w:numPr>
    </w:pPr>
  </w:style>
  <w:style w:type="paragraph" w:customStyle="1" w:styleId="Indentlist">
    <w:name w:val="Indent list"/>
    <w:basedOn w:val="Normal"/>
    <w:rsid w:val="0071773C"/>
    <w:pPr>
      <w:numPr>
        <w:numId w:val="28"/>
      </w:numPr>
      <w:tabs>
        <w:tab w:val="left" w:pos="1701"/>
      </w:tabs>
    </w:pPr>
  </w:style>
  <w:style w:type="paragraph" w:customStyle="1" w:styleId="Info">
    <w:name w:val="Info"/>
    <w:basedOn w:val="Normal"/>
    <w:link w:val="InfoChar"/>
    <w:uiPriority w:val="99"/>
    <w:rsid w:val="0071773C"/>
    <w:pPr>
      <w:tabs>
        <w:tab w:val="left" w:pos="1134"/>
      </w:tabs>
      <w:spacing w:before="120"/>
    </w:pPr>
    <w:rPr>
      <w:sz w:val="24"/>
      <w:szCs w:val="20"/>
    </w:rPr>
  </w:style>
  <w:style w:type="character" w:customStyle="1" w:styleId="InfoChar">
    <w:name w:val="Info Char"/>
    <w:link w:val="Info"/>
    <w:uiPriority w:val="99"/>
    <w:locked/>
    <w:rsid w:val="0071773C"/>
    <w:rPr>
      <w:rFonts w:ascii="Arial" w:hAnsi="Arial"/>
      <w:sz w:val="24"/>
    </w:rPr>
  </w:style>
  <w:style w:type="paragraph" w:customStyle="1" w:styleId="ASDEFCONList">
    <w:name w:val="ASDEFCON List"/>
    <w:basedOn w:val="ASDEFCONNormal"/>
    <w:qFormat/>
    <w:rsid w:val="003869AE"/>
    <w:pPr>
      <w:numPr>
        <w:numId w:val="29"/>
      </w:numPr>
    </w:pPr>
  </w:style>
  <w:style w:type="paragraph" w:styleId="NormalWeb">
    <w:name w:val="Normal (Web)"/>
    <w:basedOn w:val="Normal"/>
    <w:uiPriority w:val="99"/>
    <w:unhideWhenUsed/>
    <w:rsid w:val="000D787D"/>
    <w:pPr>
      <w:spacing w:before="100" w:beforeAutospacing="1" w:after="100" w:afterAutospacing="1"/>
      <w:jc w:val="left"/>
    </w:pPr>
    <w:rPr>
      <w:rFonts w:ascii="Times New Roman" w:hAnsi="Times New Roman"/>
      <w:sz w:val="24"/>
    </w:rPr>
  </w:style>
  <w:style w:type="paragraph" w:styleId="TOCHeading">
    <w:name w:val="TOC Heading"/>
    <w:basedOn w:val="Heading1"/>
    <w:next w:val="Normal"/>
    <w:uiPriority w:val="39"/>
    <w:unhideWhenUsed/>
    <w:qFormat/>
    <w:rsid w:val="005529B8"/>
    <w:pPr>
      <w:keepLines/>
      <w:spacing w:after="0"/>
      <w:outlineLvl w:val="9"/>
    </w:pPr>
    <w:rPr>
      <w:rFonts w:asciiTheme="majorHAnsi" w:eastAsiaTheme="majorEastAsia" w:hAnsiTheme="majorHAnsi" w:cstheme="majorBidi"/>
      <w:b w:val="0"/>
      <w:bCs w:val="0"/>
      <w:color w:val="2E74B5" w:themeColor="accent1" w:themeShade="BF"/>
      <w:kern w:val="0"/>
    </w:rPr>
  </w:style>
  <w:style w:type="character" w:customStyle="1" w:styleId="Heading1Char">
    <w:name w:val="Heading 1 Char"/>
    <w:aliases w:val="Level 1 Para Char,Level 1 Para1 Char,Level 1 Para11 Char,Level 1 Para12 Char,Level 1 Para13 Char,Level 1 Para2 Char,Level 1 Para21 Char,Level 1 Para22 Char,Level 1 Para23 Char,Level 1 Para3 Char,Level 1 Para31 Char,Level 1 Para32 Char"/>
    <w:link w:val="Heading1"/>
    <w:locked/>
    <w:rsid w:val="00EF70A3"/>
    <w:rPr>
      <w:rFonts w:ascii="Arial" w:hAnsi="Arial" w:cs="Arial"/>
      <w:b/>
      <w:bCs/>
      <w:kern w:val="32"/>
      <w:sz w:val="32"/>
      <w:szCs w:val="32"/>
    </w:rPr>
  </w:style>
  <w:style w:type="paragraph" w:styleId="ListParagraph">
    <w:name w:val="List Paragraph"/>
    <w:basedOn w:val="Normal"/>
    <w:uiPriority w:val="34"/>
    <w:qFormat/>
    <w:rsid w:val="00EF70A3"/>
    <w:pPr>
      <w:spacing w:after="0"/>
      <w:ind w:left="720"/>
    </w:pPr>
  </w:style>
  <w:style w:type="character" w:customStyle="1" w:styleId="CommentTextChar">
    <w:name w:val="Comment Text Char"/>
    <w:link w:val="CommentText"/>
    <w:semiHidden/>
    <w:rsid w:val="008C2FCC"/>
    <w:rPr>
      <w:rFonts w:ascii="Arial" w:hAnsi="Arial"/>
      <w:sz w:val="16"/>
      <w:szCs w:val="24"/>
    </w:rPr>
  </w:style>
  <w:style w:type="character" w:customStyle="1" w:styleId="Table10ptHeading-ASDEFCONChar">
    <w:name w:val="Table 10pt Heading - ASDEFCON Char"/>
    <w:link w:val="Table10ptHeading-ASDEFCON"/>
    <w:rsid w:val="007C1BA4"/>
    <w:rPr>
      <w:rFonts w:ascii="Arial" w:hAnsi="Arial"/>
      <w:b/>
      <w:color w:val="000000"/>
      <w:szCs w:val="40"/>
    </w:rPr>
  </w:style>
  <w:style w:type="character" w:customStyle="1" w:styleId="CommentTextChar1">
    <w:name w:val="Comment Text Char1"/>
    <w:semiHidden/>
    <w:locked/>
    <w:rsid w:val="006038F6"/>
    <w:rPr>
      <w:rFonts w:ascii="Arial" w:hAnsi="Arial"/>
      <w:sz w:val="22"/>
      <w:lang w:val="x-none" w:eastAsia="en-US"/>
    </w:rPr>
  </w:style>
  <w:style w:type="character" w:customStyle="1" w:styleId="NoteToDrafters-ASDEFCONChar">
    <w:name w:val="Note To Drafters - ASDEFCON Char"/>
    <w:link w:val="NoteToDrafters-ASDEFCON"/>
    <w:rsid w:val="00AA456E"/>
    <w:rPr>
      <w:rFonts w:ascii="Arial" w:hAnsi="Arial"/>
      <w:b/>
      <w:i/>
      <w:color w:val="FFFFFF"/>
      <w:szCs w:val="40"/>
      <w:shd w:val="clear" w:color="auto" w:fill="000000"/>
    </w:rPr>
  </w:style>
  <w:style w:type="paragraph" w:styleId="Subtitle">
    <w:name w:val="Subtitle"/>
    <w:basedOn w:val="Normal"/>
    <w:next w:val="Normal"/>
    <w:link w:val="SubtitleChar"/>
    <w:uiPriority w:val="99"/>
    <w:qFormat/>
    <w:rsid w:val="00EF70A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F70A3"/>
    <w:rPr>
      <w:i/>
      <w:color w:val="003760"/>
      <w:spacing w:val="15"/>
    </w:rPr>
  </w:style>
  <w:style w:type="paragraph" w:customStyle="1" w:styleId="StyleTitleGeorgiaNotBoldLeft">
    <w:name w:val="Style Title + Georgia Not Bold Left"/>
    <w:basedOn w:val="Title"/>
    <w:qFormat/>
    <w:rsid w:val="00EF70A3"/>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EF70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F70A3"/>
    <w:rPr>
      <w:rFonts w:ascii="Calibri Light" w:hAnsi="Calibri Light"/>
      <w:b/>
      <w:bCs/>
      <w:kern w:val="28"/>
      <w:sz w:val="32"/>
      <w:szCs w:val="32"/>
    </w:rPr>
  </w:style>
  <w:style w:type="character" w:customStyle="1" w:styleId="Heading3Char">
    <w:name w:val="Heading 3 Char"/>
    <w:aliases w:val="(1) Char,3 Char,C Sub-Sub/Italic Char,C Sub-Sub/Italic1 Char,H3 Char,Head 3 Char,Head 31 Char,Head 32 Char,Major Sections Char,Para 3 Char,Para3 Char,Sub2Para Char,h3 Char,h3 sub heading Char,head3hdbk Char,subsub Char"/>
    <w:link w:val="Heading3"/>
    <w:uiPriority w:val="9"/>
    <w:rsid w:val="00EF70A3"/>
    <w:rPr>
      <w:rFonts w:ascii="Arial" w:hAnsi="Arial"/>
      <w:b/>
      <w:bCs/>
      <w:i/>
      <w:color w:val="CF4520"/>
      <w:sz w:val="24"/>
      <w:szCs w:val="24"/>
    </w:rPr>
  </w:style>
  <w:style w:type="character" w:customStyle="1" w:styleId="Heading4Char">
    <w:name w:val="Heading 4 Char"/>
    <w:aliases w:val="(a) Char,Para4 Char,h4 Char,headhbk Char"/>
    <w:link w:val="Heading4"/>
    <w:uiPriority w:val="9"/>
    <w:rsid w:val="00EF70A3"/>
    <w:rPr>
      <w:rFonts w:ascii="Arial" w:hAnsi="Arial"/>
      <w:b/>
      <w:bCs/>
      <w:i/>
      <w:iCs/>
      <w:szCs w:val="24"/>
    </w:rPr>
  </w:style>
  <w:style w:type="paragraph" w:customStyle="1" w:styleId="Bullet2">
    <w:name w:val="Bullet 2"/>
    <w:basedOn w:val="Normal"/>
    <w:rsid w:val="00EF70A3"/>
    <w:pPr>
      <w:numPr>
        <w:numId w:val="3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42711">
      <w:bodyDiv w:val="1"/>
      <w:marLeft w:val="0"/>
      <w:marRight w:val="0"/>
      <w:marTop w:val="0"/>
      <w:marBottom w:val="0"/>
      <w:divBdr>
        <w:top w:val="none" w:sz="0" w:space="0" w:color="auto"/>
        <w:left w:val="none" w:sz="0" w:space="0" w:color="auto"/>
        <w:bottom w:val="none" w:sz="0" w:space="0" w:color="auto"/>
        <w:right w:val="none" w:sz="0" w:space="0" w:color="auto"/>
      </w:divBdr>
    </w:div>
    <w:div w:id="1229803491">
      <w:bodyDiv w:val="1"/>
      <w:marLeft w:val="0"/>
      <w:marRight w:val="0"/>
      <w:marTop w:val="0"/>
      <w:marBottom w:val="0"/>
      <w:divBdr>
        <w:top w:val="none" w:sz="0" w:space="0" w:color="auto"/>
        <w:left w:val="none" w:sz="0" w:space="0" w:color="auto"/>
        <w:bottom w:val="none" w:sz="0" w:space="0" w:color="auto"/>
        <w:right w:val="none" w:sz="0" w:space="0" w:color="auto"/>
      </w:divBdr>
    </w:div>
    <w:div w:id="173600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 A U S _ O N P R E M ! 3 0 4 6 2 7 1 2 4 . 2 < / d o c u m e n t i d >  
     < s e n d e r i d > M H O D G E < / s e n d e r i d >  
     < s e n d e r e m a i l > M A D E L E I N E . H O D G E @ A S H U R S T . C O M < / s e n d e r e m a i l >  
     < l a s t m o d i f i e d > 2 0 2 3 - 0 6 - 2 8 T 1 0 : 0 8 : 0 0 . 0 0 0 0 0 0 0 + 1 0 : 0 0 < / l a s t m o d i f i e d >  
     < d a t a b a s e > A U S _ O N P R E M < / 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F4F33-2D9E-4E62-8715-B601F4DD6178}">
  <ds:schemaRefs>
    <ds:schemaRef ds:uri="http://www.imanage.com/work/xmlschema"/>
  </ds:schemaRefs>
</ds:datastoreItem>
</file>

<file path=customXml/itemProps2.xml><?xml version="1.0" encoding="utf-8"?>
<ds:datastoreItem xmlns:ds="http://schemas.openxmlformats.org/officeDocument/2006/customXml" ds:itemID="{46C26AC2-6FCE-4CEA-AF43-BDD5E7F0C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99</TotalTime>
  <Pages>6</Pages>
  <Words>2417</Words>
  <Characters>13779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CASG</Manager>
  <Company>Defence</Company>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ACI</dc:creator>
  <cp:keywords/>
  <dc:description/>
  <cp:lastModifiedBy>ACI-AP</cp:lastModifiedBy>
  <cp:revision>25</cp:revision>
  <dcterms:created xsi:type="dcterms:W3CDTF">2023-06-25T00:19:00Z</dcterms:created>
  <dcterms:modified xsi:type="dcterms:W3CDTF">2026-06-11T06:01:00Z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Attachment to Draft Conditions of Contract</vt:lpwstr>
  </property>
  <property fmtid="{D5CDD505-2E9C-101B-9397-08002B2CF9AE}" pid="4" name="Header_Left">
    <vt:lpwstr>ASDEFCON (Complex Services)</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2026-04-07T04:44:09Z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BM103352548</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2026-06-11T05:59:00Z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009_ASDEFCON_CSER_V1_2_COC_ATTB_PriceandPayments</vt:lpwstr>
  </property>
  <property fmtid="{D5CDD505-2E9C-101B-9397-08002B2CF9AE}" pid="22" name="Objective-Version">
    <vt:lpwstr>1.1</vt:lpwstr>
  </property>
  <property fmtid="{D5CDD505-2E9C-101B-9397-08002B2CF9AE}" pid="23" name="Objective-VersionComment">
    <vt:lpwstr/>
  </property>
  <property fmtid="{D5CDD505-2E9C-101B-9397-08002B2CF9AE}" pid="24" name="Objective-VersionNumber">
    <vt:i4>2</vt:i4>
  </property>
  <property fmtid="{D5CDD505-2E9C-101B-9397-08002B2CF9AE}" pid="25" name="Version">
    <vt:lpwstr>V1.2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